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A3B5B8">
      <w:pPr>
        <w:ind w:firstLine="720" w:firstLineChars="200"/>
        <w:jc w:val="lef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lang w:val="en-US" w:eastAsia="zh-CN"/>
        </w:rPr>
        <w:t>芜湖市终身学习公共服务平台 2026 年度网络安全等级保护测评服务采购项目（复测）询价文件</w:t>
      </w:r>
    </w:p>
    <w:p w14:paraId="304B1927">
      <w:pPr>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项目名称</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eastAsia="zh-CN"/>
        </w:rPr>
        <w:t>芜湖市终身学习公共服务平台</w:t>
      </w:r>
      <w:r>
        <w:rPr>
          <w:rFonts w:hint="eastAsia" w:ascii="仿宋_GB2312" w:hAnsi="仿宋_GB2312" w:eastAsia="仿宋_GB2312" w:cs="仿宋_GB2312"/>
          <w:sz w:val="28"/>
          <w:szCs w:val="28"/>
        </w:rPr>
        <w:t>2026年度网络安全等级保护测评服务采购项目（复测）</w:t>
      </w:r>
    </w:p>
    <w:p w14:paraId="058FB2F7">
      <w:pPr>
        <w:rPr>
          <w:rFonts w:hint="eastAsia" w:ascii="仿宋_GB2312" w:hAnsi="仿宋_GB2312" w:eastAsia="仿宋_GB2312" w:cs="仿宋_GB2312"/>
          <w:sz w:val="28"/>
          <w:szCs w:val="28"/>
          <w:lang w:eastAsia="zh-CN"/>
        </w:rPr>
      </w:pPr>
      <w:r>
        <w:rPr>
          <w:rFonts w:hint="eastAsia" w:ascii="仿宋_GB2312" w:hAnsi="仿宋_GB2312" w:eastAsia="仿宋_GB2312" w:cs="仿宋_GB2312"/>
          <w:b/>
          <w:bCs/>
          <w:sz w:val="28"/>
          <w:szCs w:val="28"/>
        </w:rPr>
        <w:t>采购方式</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询价</w:t>
      </w:r>
    </w:p>
    <w:p w14:paraId="509FEC76">
      <w:pP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rPr>
        <w:t>采 购 人</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val="en-US" w:eastAsia="zh-CN"/>
        </w:rPr>
        <w:t>芜湖开放大学</w:t>
      </w:r>
    </w:p>
    <w:p w14:paraId="16D33FFA">
      <w:pPr>
        <w:rPr>
          <w:rFonts w:hint="eastAsia" w:ascii="仿宋_GB2312" w:hAnsi="仿宋_GB2312" w:eastAsia="仿宋_GB2312" w:cs="仿宋_GB2312"/>
          <w:sz w:val="28"/>
          <w:szCs w:val="28"/>
          <w:highlight w:val="yellow"/>
        </w:rPr>
      </w:pPr>
      <w:r>
        <w:rPr>
          <w:rFonts w:hint="eastAsia" w:ascii="仿宋_GB2312" w:hAnsi="仿宋_GB2312" w:eastAsia="仿宋_GB2312" w:cs="仿宋_GB2312"/>
          <w:b/>
          <w:bCs/>
          <w:sz w:val="28"/>
          <w:szCs w:val="28"/>
        </w:rPr>
        <w:t>日 期</w:t>
      </w:r>
      <w:r>
        <w:rPr>
          <w:rFonts w:hint="eastAsia" w:ascii="仿宋_GB2312" w:hAnsi="仿宋_GB2312" w:eastAsia="仿宋_GB2312" w:cs="仿宋_GB2312"/>
          <w:sz w:val="28"/>
          <w:szCs w:val="28"/>
        </w:rPr>
        <w:t>：</w:t>
      </w:r>
      <w:r>
        <w:rPr>
          <w:rFonts w:hint="eastAsia" w:ascii="仿宋_GB2312" w:hAnsi="仿宋_GB2312" w:eastAsia="仿宋_GB2312" w:cs="仿宋_GB2312"/>
          <w:color w:val="auto"/>
          <w:sz w:val="28"/>
          <w:szCs w:val="28"/>
          <w:highlight w:val="none"/>
        </w:rPr>
        <w:t xml:space="preserve"> 2026年5月</w:t>
      </w:r>
    </w:p>
    <w:p w14:paraId="3250789B">
      <w:pPr>
        <w:rPr>
          <w:rFonts w:hint="eastAsia" w:ascii="仿宋_GB2312" w:hAnsi="仿宋_GB2312" w:eastAsia="仿宋_GB2312" w:cs="仿宋_GB2312"/>
          <w:sz w:val="28"/>
          <w:szCs w:val="28"/>
          <w:highlight w:val="yellow"/>
        </w:rPr>
      </w:pPr>
    </w:p>
    <w:p w14:paraId="748BB65F">
      <w:pPr>
        <w:rPr>
          <w:rFonts w:hint="eastAsia" w:ascii="黑体" w:hAnsi="黑体" w:eastAsia="黑体" w:cs="黑体"/>
          <w:b/>
          <w:bCs/>
          <w:sz w:val="28"/>
          <w:szCs w:val="28"/>
          <w:lang w:val="en-US" w:eastAsia="zh-CN"/>
        </w:rPr>
      </w:pPr>
      <w:r>
        <w:rPr>
          <w:rFonts w:hint="eastAsia" w:ascii="黑体" w:hAnsi="黑体" w:eastAsia="黑体" w:cs="黑体"/>
          <w:b/>
          <w:bCs/>
          <w:sz w:val="28"/>
          <w:szCs w:val="28"/>
        </w:rPr>
        <w:t>第一章</w:t>
      </w:r>
      <w:r>
        <w:rPr>
          <w:rFonts w:hint="eastAsia" w:ascii="黑体" w:hAnsi="黑体" w:eastAsia="黑体" w:cs="黑体"/>
          <w:b/>
          <w:bCs/>
          <w:sz w:val="28"/>
          <w:szCs w:val="28"/>
          <w:lang w:val="en-US" w:eastAsia="zh-CN"/>
        </w:rPr>
        <w:t xml:space="preserve"> 询价公告</w:t>
      </w:r>
    </w:p>
    <w:p w14:paraId="6EC736D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kern w:val="0"/>
          <w:sz w:val="28"/>
          <w:szCs w:val="28"/>
          <w:lang w:val="en-US" w:eastAsia="zh-CN" w:bidi="ar"/>
        </w:rPr>
        <w:t>芜湖开放大学就 “芜湖市终身学习公共服务平台” 2026 年度三级等保测评服务进行询价采购，欢迎符合资格条件的供应商参与报价。</w:t>
      </w:r>
    </w:p>
    <w:p w14:paraId="12990B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黑体" w:hAnsi="黑体" w:eastAsia="黑体" w:cs="黑体"/>
          <w:color w:val="000000"/>
          <w:kern w:val="0"/>
          <w:sz w:val="28"/>
          <w:szCs w:val="28"/>
          <w:lang w:val="en-US" w:eastAsia="zh-CN" w:bidi="ar"/>
        </w:rPr>
      </w:pPr>
      <w:r>
        <w:rPr>
          <w:rFonts w:hint="eastAsia" w:ascii="黑体" w:hAnsi="黑体" w:eastAsia="黑体" w:cs="黑体"/>
          <w:color w:val="000000"/>
          <w:kern w:val="0"/>
          <w:sz w:val="28"/>
          <w:szCs w:val="28"/>
          <w:lang w:val="en-US" w:eastAsia="zh-CN" w:bidi="ar"/>
        </w:rPr>
        <w:t>一、项目基本情况</w:t>
      </w:r>
    </w:p>
    <w:p w14:paraId="324DB8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b/>
          <w:bCs/>
          <w:color w:val="000000"/>
          <w:kern w:val="0"/>
          <w:sz w:val="28"/>
          <w:szCs w:val="28"/>
          <w:lang w:val="en-US" w:eastAsia="zh-CN" w:bidi="ar"/>
        </w:rPr>
        <w:t>1.项目名称</w:t>
      </w:r>
      <w:r>
        <w:rPr>
          <w:rFonts w:hint="eastAsia" w:ascii="方正仿宋_GB2312" w:hAnsi="方正仿宋_GB2312" w:eastAsia="方正仿宋_GB2312" w:cs="方正仿宋_GB2312"/>
          <w:color w:val="000000"/>
          <w:kern w:val="0"/>
          <w:sz w:val="28"/>
          <w:szCs w:val="28"/>
          <w:lang w:val="en-US" w:eastAsia="zh-CN" w:bidi="ar"/>
        </w:rPr>
        <w:t>：芜湖市终身学习公共服务平台 2026 年度网络安全等级保护测评服务采购项目（复测）</w:t>
      </w:r>
    </w:p>
    <w:p w14:paraId="10FFAB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b/>
          <w:bCs/>
          <w:color w:val="000000"/>
          <w:kern w:val="0"/>
          <w:sz w:val="28"/>
          <w:szCs w:val="28"/>
          <w:lang w:val="en-US" w:eastAsia="zh-CN" w:bidi="ar"/>
        </w:rPr>
        <w:t>2. 采购方式</w:t>
      </w:r>
      <w:r>
        <w:rPr>
          <w:rFonts w:hint="eastAsia" w:ascii="方正仿宋_GB2312" w:hAnsi="方正仿宋_GB2312" w:eastAsia="方正仿宋_GB2312" w:cs="方正仿宋_GB2312"/>
          <w:color w:val="000000"/>
          <w:kern w:val="0"/>
          <w:sz w:val="28"/>
          <w:szCs w:val="28"/>
          <w:lang w:val="en-US" w:eastAsia="zh-CN" w:bidi="ar"/>
        </w:rPr>
        <w:t>：询价</w:t>
      </w:r>
    </w:p>
    <w:p w14:paraId="1075A3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b/>
          <w:bCs/>
          <w:color w:val="000000"/>
          <w:kern w:val="0"/>
          <w:sz w:val="28"/>
          <w:szCs w:val="28"/>
          <w:lang w:val="en-US" w:eastAsia="zh-CN" w:bidi="ar"/>
        </w:rPr>
        <w:t>3. 预算金额</w:t>
      </w:r>
      <w:r>
        <w:rPr>
          <w:rFonts w:hint="eastAsia" w:ascii="方正仿宋_GB2312" w:hAnsi="方正仿宋_GB2312" w:eastAsia="方正仿宋_GB2312" w:cs="方正仿宋_GB2312"/>
          <w:color w:val="000000"/>
          <w:kern w:val="0"/>
          <w:sz w:val="28"/>
          <w:szCs w:val="28"/>
          <w:lang w:val="en-US" w:eastAsia="zh-CN" w:bidi="ar"/>
        </w:rPr>
        <w:t>：人民币 3 万元整</w:t>
      </w:r>
    </w:p>
    <w:p w14:paraId="344DCD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b/>
          <w:bCs/>
          <w:color w:val="000000"/>
          <w:kern w:val="0"/>
          <w:sz w:val="28"/>
          <w:szCs w:val="28"/>
          <w:lang w:val="en-US" w:eastAsia="zh-CN" w:bidi="ar"/>
        </w:rPr>
        <w:t>4. 最高限价</w:t>
      </w:r>
      <w:r>
        <w:rPr>
          <w:rFonts w:hint="eastAsia" w:ascii="方正仿宋_GB2312" w:hAnsi="方正仿宋_GB2312" w:eastAsia="方正仿宋_GB2312" w:cs="方正仿宋_GB2312"/>
          <w:color w:val="000000"/>
          <w:kern w:val="0"/>
          <w:sz w:val="28"/>
          <w:szCs w:val="28"/>
          <w:lang w:val="en-US" w:eastAsia="zh-CN" w:bidi="ar"/>
        </w:rPr>
        <w:t>：人民币 3 万元整</w:t>
      </w:r>
    </w:p>
    <w:p w14:paraId="2FEC57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b/>
          <w:bCs/>
          <w:color w:val="000000"/>
          <w:kern w:val="0"/>
          <w:sz w:val="28"/>
          <w:szCs w:val="28"/>
          <w:lang w:val="en-US" w:eastAsia="zh-CN" w:bidi="ar"/>
        </w:rPr>
        <w:t>5. 采购需求</w:t>
      </w:r>
      <w:r>
        <w:rPr>
          <w:rFonts w:hint="eastAsia" w:ascii="方正仿宋_GB2312" w:hAnsi="方正仿宋_GB2312" w:eastAsia="方正仿宋_GB2312" w:cs="方正仿宋_GB2312"/>
          <w:color w:val="000000"/>
          <w:kern w:val="0"/>
          <w:sz w:val="28"/>
          <w:szCs w:val="28"/>
          <w:lang w:val="en-US" w:eastAsia="zh-CN" w:bidi="ar"/>
        </w:rPr>
        <w:t>：对“芜湖市终身学习公共服务平台”（三级系统）开展2026年度网络安全等级保护复测服务，包括：</w:t>
      </w:r>
    </w:p>
    <w:p w14:paraId="3564CE2C">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备案信息核实与变更协助</w:t>
      </w:r>
    </w:p>
    <w:p w14:paraId="7A765A50">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年度等级保护测评（GB/T 22239-2019）</w:t>
      </w:r>
    </w:p>
    <w:p w14:paraId="34C58ACA">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漏洞扫描与渗透测试</w:t>
      </w:r>
    </w:p>
    <w:p w14:paraId="5C7D944F">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与前次测评结果的差距分析</w:t>
      </w:r>
    </w:p>
    <w:p w14:paraId="0903991E">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整改咨询及免费复核测评</w:t>
      </w:r>
    </w:p>
    <w:p w14:paraId="446521B4">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出具年度测评报告</w:t>
      </w:r>
    </w:p>
    <w:p w14:paraId="077696F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b/>
          <w:bCs/>
          <w:color w:val="000000"/>
          <w:kern w:val="0"/>
          <w:sz w:val="28"/>
          <w:szCs w:val="28"/>
          <w:lang w:val="en-US" w:eastAsia="zh-CN" w:bidi="ar"/>
        </w:rPr>
        <w:t>6.服务期限</w:t>
      </w:r>
      <w:r>
        <w:rPr>
          <w:rFonts w:hint="eastAsia" w:ascii="方正仿宋_GB2312" w:hAnsi="方正仿宋_GB2312" w:eastAsia="方正仿宋_GB2312" w:cs="方正仿宋_GB2312"/>
          <w:color w:val="000000"/>
          <w:kern w:val="0"/>
          <w:sz w:val="28"/>
          <w:szCs w:val="28"/>
          <w:lang w:val="en-US" w:eastAsia="zh-CN" w:bidi="ar"/>
        </w:rPr>
        <w:t>：合同签订之日起 45 个工作日内完成全部工作并交付正式报告</w:t>
      </w:r>
    </w:p>
    <w:p w14:paraId="4711546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b/>
          <w:bCs/>
          <w:color w:val="000000"/>
          <w:kern w:val="0"/>
          <w:sz w:val="28"/>
          <w:szCs w:val="28"/>
          <w:lang w:val="en-US" w:eastAsia="zh-CN" w:bidi="ar"/>
        </w:rPr>
        <w:t>7. 本项目不接受联合体</w:t>
      </w:r>
    </w:p>
    <w:p w14:paraId="46A0CC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黑体" w:hAnsi="黑体" w:eastAsia="黑体" w:cs="黑体"/>
          <w:color w:val="000000"/>
          <w:kern w:val="0"/>
          <w:sz w:val="28"/>
          <w:szCs w:val="28"/>
          <w:lang w:val="en-US" w:eastAsia="zh-CN" w:bidi="ar"/>
        </w:rPr>
      </w:pPr>
      <w:r>
        <w:rPr>
          <w:rFonts w:hint="eastAsia" w:ascii="黑体" w:hAnsi="黑体" w:eastAsia="黑体" w:cs="黑体"/>
          <w:color w:val="000000"/>
          <w:kern w:val="0"/>
          <w:sz w:val="28"/>
          <w:szCs w:val="28"/>
          <w:lang w:val="en-US" w:eastAsia="zh-CN" w:bidi="ar"/>
        </w:rPr>
        <w:t>二、供应商资格要求</w:t>
      </w:r>
    </w:p>
    <w:p w14:paraId="7AF547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1. 满足《中华人民共和国政府采购法》第二十二条规定。</w:t>
      </w:r>
    </w:p>
    <w:p w14:paraId="536535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2. 本项目的特定资格要求：</w:t>
      </w:r>
    </w:p>
    <w:p w14:paraId="129693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方正仿宋_GB2312" w:hAnsi="方正仿宋_GB2312" w:eastAsia="方正仿宋_GB2312" w:cs="方正仿宋_GB2312"/>
          <w:b/>
          <w:bCs/>
          <w:color w:val="000000"/>
          <w:kern w:val="0"/>
          <w:sz w:val="28"/>
          <w:szCs w:val="28"/>
          <w:lang w:val="en-US" w:eastAsia="zh-CN" w:bidi="ar"/>
        </w:rPr>
      </w:pPr>
      <w:r>
        <w:rPr>
          <w:rFonts w:hint="eastAsia" w:ascii="方正仿宋_GB2312" w:hAnsi="方正仿宋_GB2312" w:eastAsia="方正仿宋_GB2312" w:cs="方正仿宋_GB2312"/>
          <w:b/>
          <w:bCs/>
          <w:color w:val="000000"/>
          <w:kern w:val="0"/>
          <w:sz w:val="28"/>
          <w:szCs w:val="28"/>
          <w:lang w:val="en-US" w:eastAsia="zh-CN" w:bidi="ar"/>
        </w:rPr>
        <w:t>必须持有公安部第三研究所颁发的、有效期内的《网络安全等级测评与检测评估机构服务认证证书》。</w:t>
      </w:r>
    </w:p>
    <w:p w14:paraId="1D94BD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kern w:val="0"/>
          <w:sz w:val="28"/>
          <w:szCs w:val="28"/>
          <w:lang w:val="en-US" w:eastAsia="zh-CN" w:bidi="ar"/>
        </w:rPr>
        <w:t>3. 单位负责人为同一人或者存在直接控股、管理关系的不同供应商，不得同时参加本项目。</w:t>
      </w:r>
    </w:p>
    <w:p w14:paraId="3D3A9D01">
      <w:pPr>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三、获取询价文件</w:t>
      </w:r>
    </w:p>
    <w:p w14:paraId="013CEA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时间：2026 年 5 月 21 日至 2026 年 5 月25日</w:t>
      </w:r>
    </w:p>
    <w:p w14:paraId="6EC5F4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kern w:val="0"/>
          <w:sz w:val="28"/>
          <w:szCs w:val="28"/>
          <w:lang w:val="en-US" w:eastAsia="zh-CN" w:bidi="ar"/>
        </w:rPr>
        <w:t>方式：本公告附件自行下载</w:t>
      </w:r>
      <w:bookmarkStart w:id="0" w:name="_GoBack"/>
      <w:bookmarkEnd w:id="0"/>
    </w:p>
    <w:p w14:paraId="584E73CB">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黑体" w:hAnsi="黑体" w:eastAsia="黑体" w:cs="黑体"/>
          <w:b/>
          <w:bCs/>
          <w:color w:val="000000"/>
          <w:kern w:val="0"/>
          <w:sz w:val="28"/>
          <w:szCs w:val="28"/>
          <w:lang w:val="en-US" w:eastAsia="zh-CN" w:bidi="ar"/>
        </w:rPr>
      </w:pPr>
      <w:r>
        <w:rPr>
          <w:rFonts w:hint="eastAsia" w:ascii="黑体" w:hAnsi="黑体" w:eastAsia="黑体" w:cs="黑体"/>
          <w:b/>
          <w:bCs/>
          <w:color w:val="000000"/>
          <w:kern w:val="0"/>
          <w:sz w:val="28"/>
          <w:szCs w:val="28"/>
          <w:lang w:val="en-US" w:eastAsia="zh-CN" w:bidi="ar"/>
        </w:rPr>
        <w:t>响应文件提交</w:t>
      </w:r>
    </w:p>
    <w:p w14:paraId="188A21D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截止时间：2026 年 5 月 26 日 14:00（北京时间）</w:t>
      </w:r>
    </w:p>
    <w:p w14:paraId="63AE586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地点：安徽省芜湖市镜湖区环城西路10-3号  远教楼八楼综合处1 </w:t>
      </w:r>
    </w:p>
    <w:p w14:paraId="5725B901">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rFonts w:hint="eastAsia" w:ascii="黑体" w:hAnsi="黑体" w:eastAsia="黑体" w:cs="黑体"/>
          <w:b/>
          <w:bCs/>
          <w:color w:val="000000"/>
          <w:kern w:val="0"/>
          <w:sz w:val="28"/>
          <w:szCs w:val="28"/>
          <w:lang w:val="en-US" w:eastAsia="zh-CN" w:bidi="ar"/>
        </w:rPr>
      </w:pPr>
      <w:r>
        <w:rPr>
          <w:rFonts w:hint="eastAsia" w:ascii="黑体" w:hAnsi="黑体" w:eastAsia="黑体" w:cs="黑体"/>
          <w:b/>
          <w:bCs/>
          <w:color w:val="000000"/>
          <w:kern w:val="0"/>
          <w:sz w:val="28"/>
          <w:szCs w:val="28"/>
          <w:lang w:val="en-US" w:eastAsia="zh-CN" w:bidi="ar"/>
        </w:rPr>
        <w:t>开启</w:t>
      </w:r>
    </w:p>
    <w:p w14:paraId="1DB20AB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Chars="0" w:right="0" w:right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时间：2026 年 5 月 26 日 14:00（北京时间）</w:t>
      </w:r>
    </w:p>
    <w:p w14:paraId="4A98FA4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Chars="0" w:right="0" w:right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地点：安徽省芜湖市镜湖区环城西路10-3号  远教楼九楼小会议室1</w:t>
      </w:r>
    </w:p>
    <w:p w14:paraId="33DA35F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Chars="0" w:right="0" w:rightChars="0"/>
        <w:jc w:val="left"/>
        <w:rPr>
          <w:rFonts w:hint="default" w:ascii="方正仿宋_GB2312" w:hAnsi="方正仿宋_GB2312" w:eastAsia="方正仿宋_GB2312" w:cs="方正仿宋_GB2312"/>
          <w:color w:val="000000"/>
          <w:kern w:val="0"/>
          <w:sz w:val="28"/>
          <w:szCs w:val="28"/>
          <w:lang w:val="en-US" w:eastAsia="zh-CN" w:bidi="ar"/>
        </w:rPr>
      </w:pPr>
    </w:p>
    <w:p w14:paraId="60068AD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Chars="0" w:right="0" w:rightChars="0"/>
        <w:jc w:val="left"/>
        <w:rPr>
          <w:rFonts w:hint="eastAsia" w:ascii="黑体" w:hAnsi="黑体" w:eastAsia="黑体" w:cs="黑体"/>
          <w:b/>
          <w:bCs/>
          <w:color w:val="000000"/>
          <w:kern w:val="0"/>
          <w:sz w:val="28"/>
          <w:szCs w:val="28"/>
          <w:lang w:val="en-US" w:eastAsia="zh-CN" w:bidi="ar"/>
        </w:rPr>
      </w:pPr>
      <w:r>
        <w:rPr>
          <w:rFonts w:hint="eastAsia" w:ascii="黑体" w:hAnsi="黑体" w:eastAsia="黑体" w:cs="黑体"/>
          <w:b/>
          <w:bCs/>
          <w:sz w:val="28"/>
          <w:szCs w:val="28"/>
        </w:rPr>
        <w:t>第二章</w:t>
      </w:r>
      <w:r>
        <w:rPr>
          <w:rFonts w:hint="eastAsia" w:ascii="黑体" w:hAnsi="黑体" w:eastAsia="黑体" w:cs="黑体"/>
          <w:b/>
          <w:bCs/>
          <w:sz w:val="28"/>
          <w:szCs w:val="28"/>
          <w:lang w:val="en-US" w:eastAsia="zh-CN"/>
        </w:rPr>
        <w:t xml:space="preserve"> </w:t>
      </w:r>
      <w:r>
        <w:rPr>
          <w:rFonts w:hint="eastAsia" w:ascii="黑体" w:hAnsi="黑体" w:eastAsia="黑体" w:cs="黑体"/>
          <w:b/>
          <w:bCs/>
          <w:color w:val="000000"/>
          <w:kern w:val="0"/>
          <w:sz w:val="28"/>
          <w:szCs w:val="28"/>
          <w:lang w:val="en-US" w:eastAsia="zh-CN" w:bidi="ar"/>
        </w:rPr>
        <w:t>采购项目需求（技术及服务要求）</w:t>
      </w:r>
    </w:p>
    <w:p w14:paraId="464D18AE">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eastAsia" w:ascii="黑体" w:hAnsi="黑体" w:eastAsia="黑体" w:cs="黑体"/>
          <w:b/>
          <w:bCs/>
          <w:color w:val="000000"/>
          <w:kern w:val="0"/>
          <w:sz w:val="28"/>
          <w:szCs w:val="28"/>
          <w:lang w:val="en-US" w:eastAsia="zh-CN" w:bidi="ar"/>
        </w:rPr>
      </w:pPr>
      <w:r>
        <w:rPr>
          <w:rFonts w:hint="eastAsia" w:ascii="黑体" w:hAnsi="黑体" w:eastAsia="黑体" w:cs="黑体"/>
          <w:b/>
          <w:bCs/>
          <w:color w:val="000000"/>
          <w:kern w:val="0"/>
          <w:sz w:val="28"/>
          <w:szCs w:val="28"/>
          <w:lang w:val="en-US" w:eastAsia="zh-CN" w:bidi="ar"/>
        </w:rPr>
        <w:t>项目背景</w:t>
      </w:r>
    </w:p>
    <w:p w14:paraId="00B3356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“芜湖市终身学习公共服务平台” 已于前年（2024 年）完成首次三级等保测评并取得公安机关备案证明。</w:t>
      </w:r>
    </w:p>
    <w:p w14:paraId="720F2CD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根据《网络安全法》及 GB/T 22239-2019 要求，三级系统每年至少开展一次等级保护测评。</w:t>
      </w:r>
    </w:p>
    <w:p w14:paraId="13BB73D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kern w:val="0"/>
          <w:sz w:val="28"/>
          <w:szCs w:val="28"/>
          <w:lang w:val="en-US" w:eastAsia="zh-CN" w:bidi="ar"/>
        </w:rPr>
        <w:t>本次采购为平台 2026 年度续评与安全复测，重点在于安全状态的持续符合性核查。</w:t>
      </w:r>
    </w:p>
    <w:p w14:paraId="65E2C2A8">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rFonts w:hint="eastAsia" w:ascii="黑体" w:hAnsi="黑体" w:eastAsia="黑体" w:cs="黑体"/>
          <w:b/>
          <w:bCs/>
          <w:color w:val="000000"/>
          <w:kern w:val="0"/>
          <w:sz w:val="28"/>
          <w:szCs w:val="28"/>
          <w:lang w:val="en-US" w:eastAsia="zh-CN" w:bidi="ar"/>
        </w:rPr>
      </w:pPr>
      <w:r>
        <w:rPr>
          <w:rFonts w:hint="eastAsia" w:ascii="黑体" w:hAnsi="黑体" w:eastAsia="黑体" w:cs="黑体"/>
          <w:b/>
          <w:bCs/>
          <w:color w:val="000000"/>
          <w:kern w:val="0"/>
          <w:sz w:val="28"/>
          <w:szCs w:val="28"/>
          <w:lang w:val="en-US" w:eastAsia="zh-CN" w:bidi="ar"/>
        </w:rPr>
        <w:t>服务目标</w:t>
      </w:r>
    </w:p>
    <w:p w14:paraId="53F768B8">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确认平台当前安全保护能力持续满足三级要求</w:t>
      </w:r>
    </w:p>
    <w:p w14:paraId="2E9D6C2E">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识别近一年系统变更带来的新增风险</w:t>
      </w:r>
    </w:p>
    <w:p w14:paraId="3D6859D7">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验证前次测评问题的整改效果</w:t>
      </w:r>
    </w:p>
    <w:p w14:paraId="64456A0B">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kern w:val="0"/>
          <w:sz w:val="28"/>
          <w:szCs w:val="28"/>
          <w:lang w:val="en-US" w:eastAsia="zh-CN" w:bidi="ar"/>
        </w:rPr>
        <w:t>为下一年度安全建设提供依据</w:t>
      </w:r>
    </w:p>
    <w:p w14:paraId="2F465CC7">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rFonts w:hint="eastAsia" w:ascii="黑体" w:hAnsi="黑体" w:eastAsia="黑体" w:cs="黑体"/>
          <w:b/>
          <w:bCs/>
          <w:color w:val="000000"/>
          <w:kern w:val="0"/>
          <w:sz w:val="28"/>
          <w:szCs w:val="28"/>
          <w:lang w:val="en-US" w:eastAsia="zh-CN" w:bidi="ar"/>
        </w:rPr>
      </w:pPr>
      <w:r>
        <w:rPr>
          <w:rFonts w:hint="eastAsia" w:ascii="黑体" w:hAnsi="黑体" w:eastAsia="黑体" w:cs="黑体"/>
          <w:b/>
          <w:bCs/>
          <w:color w:val="000000"/>
          <w:kern w:val="0"/>
          <w:sz w:val="28"/>
          <w:szCs w:val="28"/>
          <w:lang w:val="en-US" w:eastAsia="zh-CN" w:bidi="ar"/>
        </w:rPr>
        <w:t>服务内容</w:t>
      </w:r>
    </w:p>
    <w:p w14:paraId="39BCDE7C">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Chars="0" w:right="0" w:rightChars="0"/>
        <w:jc w:val="left"/>
        <w:rPr>
          <w:rFonts w:hint="eastAsia" w:ascii="方正仿宋_GB2312" w:hAnsi="方正仿宋_GB2312" w:eastAsia="方正仿宋_GB2312" w:cs="方正仿宋_GB2312"/>
          <w:b/>
          <w:bCs/>
          <w:color w:val="000000"/>
          <w:kern w:val="0"/>
          <w:sz w:val="28"/>
          <w:szCs w:val="28"/>
          <w:lang w:val="en-US" w:eastAsia="zh-CN" w:bidi="ar"/>
        </w:rPr>
      </w:pPr>
      <w:r>
        <w:rPr>
          <w:rFonts w:hint="eastAsia" w:ascii="方正仿宋_GB2312" w:hAnsi="方正仿宋_GB2312" w:eastAsia="方正仿宋_GB2312" w:cs="方正仿宋_GB2312"/>
          <w:b/>
          <w:bCs/>
          <w:color w:val="000000"/>
          <w:kern w:val="0"/>
          <w:sz w:val="28"/>
          <w:szCs w:val="28"/>
          <w:lang w:val="en-US" w:eastAsia="zh-CN" w:bidi="ar"/>
        </w:rPr>
        <w:t>备案信息确认与变更协助</w:t>
      </w:r>
    </w:p>
    <w:p w14:paraId="6E98A8AC">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核实平台备案信息（系统边界、服务模式、责任单位等）是否发生变化</w:t>
      </w:r>
    </w:p>
    <w:p w14:paraId="2B1CEA76">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kern w:val="0"/>
          <w:sz w:val="28"/>
          <w:szCs w:val="28"/>
          <w:lang w:val="en-US" w:eastAsia="zh-CN" w:bidi="ar"/>
        </w:rPr>
        <w:t>如需变更，协助完成公安机关备案信息更新</w:t>
      </w:r>
    </w:p>
    <w:p w14:paraId="67E5AE8E">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rFonts w:hint="eastAsia" w:ascii="方正仿宋_GB2312" w:hAnsi="方正仿宋_GB2312" w:eastAsia="方正仿宋_GB2312" w:cs="方正仿宋_GB2312"/>
          <w:b/>
          <w:bCs/>
          <w:color w:val="000000"/>
          <w:kern w:val="0"/>
          <w:sz w:val="28"/>
          <w:szCs w:val="28"/>
          <w:lang w:val="en-US" w:eastAsia="zh-CN" w:bidi="ar"/>
        </w:rPr>
      </w:pPr>
      <w:r>
        <w:rPr>
          <w:rFonts w:hint="eastAsia" w:ascii="方正仿宋_GB2312" w:hAnsi="方正仿宋_GB2312" w:eastAsia="方正仿宋_GB2312" w:cs="方正仿宋_GB2312"/>
          <w:b/>
          <w:bCs/>
          <w:color w:val="000000"/>
          <w:kern w:val="0"/>
          <w:sz w:val="28"/>
          <w:szCs w:val="28"/>
          <w:lang w:val="en-US" w:eastAsia="zh-CN" w:bidi="ar"/>
        </w:rPr>
        <w:t>年度等级保护测评（复测）</w:t>
      </w:r>
    </w:p>
    <w:p w14:paraId="1F1C009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Chars="0" w:right="0" w:right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依据 GB/T 22239-2019 三级标准，对以下层面进行复测：</w:t>
      </w:r>
    </w:p>
    <w:p w14:paraId="5177E30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Chars="0" w:right="0" w:right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安全物理环境、安全通信网络、安全区域边界、安全计算环境、安全管理中心、安全管理制度、安全管理机构、安全管理人员、安全建设管理、安全运维管理。</w:t>
      </w:r>
    </w:p>
    <w:p w14:paraId="635F156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Chars="0" w:right="0" w:right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重点核查：</w:t>
      </w:r>
    </w:p>
    <w:p w14:paraId="6A0B9F7C">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前次测评中高危、中危问题的整改闭环情况</w:t>
      </w:r>
    </w:p>
    <w:p w14:paraId="2D9ED96F">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近一年新增功能、新增设备、网络结构调整后的安全措施有效性</w:t>
      </w:r>
    </w:p>
    <w:p w14:paraId="74BE4F07">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kern w:val="0"/>
          <w:sz w:val="28"/>
          <w:szCs w:val="28"/>
          <w:lang w:val="en-US" w:eastAsia="zh-CN" w:bidi="ar"/>
        </w:rPr>
        <w:t>安全管理制度与运维记录的实际一致性</w:t>
      </w:r>
    </w:p>
    <w:p w14:paraId="0FFFC1C5">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rFonts w:hint="eastAsia" w:ascii="方正仿宋_GB2312" w:hAnsi="方正仿宋_GB2312" w:eastAsia="方正仿宋_GB2312" w:cs="方正仿宋_GB2312"/>
          <w:b/>
          <w:bCs/>
          <w:color w:val="000000"/>
          <w:kern w:val="0"/>
          <w:sz w:val="28"/>
          <w:szCs w:val="28"/>
          <w:lang w:val="en-US" w:eastAsia="zh-CN" w:bidi="ar"/>
        </w:rPr>
      </w:pPr>
      <w:r>
        <w:rPr>
          <w:rFonts w:hint="eastAsia" w:ascii="方正仿宋_GB2312" w:hAnsi="方正仿宋_GB2312" w:eastAsia="方正仿宋_GB2312" w:cs="方正仿宋_GB2312"/>
          <w:b/>
          <w:bCs/>
          <w:color w:val="000000"/>
          <w:kern w:val="0"/>
          <w:sz w:val="28"/>
          <w:szCs w:val="28"/>
          <w:lang w:val="en-US" w:eastAsia="zh-CN" w:bidi="ar"/>
        </w:rPr>
        <w:t>漏洞扫描与渗透测试</w:t>
      </w:r>
    </w:p>
    <w:p w14:paraId="79B8EF46">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使用专业工具对主机、应用、数据库进行漏洞扫描</w:t>
      </w:r>
    </w:p>
    <w:p w14:paraId="065DEDCC">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开展渗透测试，验证高危漏洞的可利用性</w:t>
      </w:r>
    </w:p>
    <w:p w14:paraId="7C28FBA9">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kern w:val="0"/>
          <w:sz w:val="28"/>
          <w:szCs w:val="28"/>
          <w:lang w:val="en-US" w:eastAsia="zh-CN" w:bidi="ar"/>
        </w:rPr>
        <w:t>区分：新增漏洞 / 前次未修复存量漏洞</w:t>
      </w:r>
    </w:p>
    <w:p w14:paraId="6FC1C3F9">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rFonts w:hint="eastAsia" w:ascii="方正仿宋_GB2312" w:hAnsi="方正仿宋_GB2312" w:eastAsia="方正仿宋_GB2312" w:cs="方正仿宋_GB2312"/>
          <w:b/>
          <w:bCs/>
          <w:color w:val="000000"/>
          <w:kern w:val="0"/>
          <w:sz w:val="28"/>
          <w:szCs w:val="28"/>
          <w:lang w:val="en-US" w:eastAsia="zh-CN" w:bidi="ar"/>
        </w:rPr>
      </w:pPr>
      <w:r>
        <w:rPr>
          <w:rFonts w:hint="eastAsia" w:ascii="方正仿宋_GB2312" w:hAnsi="方正仿宋_GB2312" w:eastAsia="方正仿宋_GB2312" w:cs="方正仿宋_GB2312"/>
          <w:b/>
          <w:bCs/>
          <w:color w:val="000000"/>
          <w:kern w:val="0"/>
          <w:sz w:val="28"/>
          <w:szCs w:val="28"/>
          <w:lang w:val="en-US" w:eastAsia="zh-CN" w:bidi="ar"/>
        </w:rPr>
        <w:t>差距分析与安全趋势评估</w:t>
      </w:r>
    </w:p>
    <w:p w14:paraId="6C531AF8">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形成与前次测评结果的逐项对比表</w:t>
      </w:r>
    </w:p>
    <w:p w14:paraId="344393C9">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kern w:val="0"/>
          <w:sz w:val="28"/>
          <w:szCs w:val="28"/>
          <w:lang w:val="en-US" w:eastAsia="zh-CN" w:bidi="ar"/>
        </w:rPr>
        <w:t>评估安全能力是否存在下降趋势</w:t>
      </w:r>
    </w:p>
    <w:p w14:paraId="04572E1C">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rFonts w:hint="eastAsia" w:ascii="方正仿宋_GB2312" w:hAnsi="方正仿宋_GB2312" w:eastAsia="方正仿宋_GB2312" w:cs="方正仿宋_GB2312"/>
          <w:b/>
          <w:bCs/>
          <w:color w:val="000000"/>
          <w:kern w:val="0"/>
          <w:sz w:val="28"/>
          <w:szCs w:val="28"/>
          <w:lang w:val="en-US" w:eastAsia="zh-CN" w:bidi="ar"/>
        </w:rPr>
      </w:pPr>
      <w:r>
        <w:rPr>
          <w:rFonts w:hint="eastAsia" w:ascii="方正仿宋_GB2312" w:hAnsi="方正仿宋_GB2312" w:eastAsia="方正仿宋_GB2312" w:cs="方正仿宋_GB2312"/>
          <w:b/>
          <w:bCs/>
          <w:color w:val="000000"/>
          <w:kern w:val="0"/>
          <w:sz w:val="28"/>
          <w:szCs w:val="28"/>
          <w:lang w:val="en-US" w:eastAsia="zh-CN" w:bidi="ar"/>
        </w:rPr>
        <w:t>整改咨询与免费复核</w:t>
      </w:r>
    </w:p>
    <w:p w14:paraId="5D4B166A">
      <w:pPr>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针对测评发现的问题，提供可落地的整改建议（含配置级指导）</w:t>
      </w:r>
    </w:p>
    <w:p w14:paraId="63FD703E">
      <w:pPr>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采购人完成整改后，供应商提供 1 次免费复核测评</w:t>
      </w:r>
    </w:p>
    <w:p w14:paraId="1E5AD271">
      <w:pPr>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kern w:val="0"/>
          <w:sz w:val="28"/>
          <w:szCs w:val="28"/>
          <w:lang w:val="en-US" w:eastAsia="zh-CN" w:bidi="ar"/>
        </w:rPr>
        <w:t>复核通过后出具最终报告</w:t>
      </w:r>
    </w:p>
    <w:p w14:paraId="71D6B968">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rFonts w:hint="eastAsia" w:ascii="黑体" w:hAnsi="黑体" w:eastAsia="黑体" w:cs="黑体"/>
          <w:b/>
          <w:bCs/>
          <w:color w:val="000000"/>
          <w:kern w:val="0"/>
          <w:sz w:val="28"/>
          <w:szCs w:val="28"/>
          <w:lang w:val="en-US" w:eastAsia="zh-CN" w:bidi="ar"/>
        </w:rPr>
      </w:pPr>
      <w:r>
        <w:rPr>
          <w:rFonts w:hint="eastAsia" w:ascii="黑体" w:hAnsi="黑体" w:eastAsia="黑体" w:cs="黑体"/>
          <w:b/>
          <w:bCs/>
          <w:color w:val="000000"/>
          <w:kern w:val="0"/>
          <w:sz w:val="28"/>
          <w:szCs w:val="28"/>
          <w:lang w:val="en-US" w:eastAsia="zh-CN" w:bidi="ar"/>
        </w:rPr>
        <w:t>成果交付清单</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9"/>
        <w:gridCol w:w="4612"/>
        <w:gridCol w:w="2841"/>
      </w:tblGrid>
      <w:tr w14:paraId="41B00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tcBorders>
              <w:top w:val="single" w:color="000000" w:sz="12" w:space="0"/>
              <w:left w:val="nil"/>
              <w:bottom w:val="single" w:color="000000" w:sz="4" w:space="0"/>
              <w:right w:val="nil"/>
              <w:tl2br w:val="nil"/>
            </w:tcBorders>
            <w:shd w:val="clear" w:color="auto" w:fill="FFFFFF"/>
          </w:tcPr>
          <w:p w14:paraId="455EAEAA">
            <w:pPr>
              <w:widowControl w:val="0"/>
              <w:numPr>
                <w:ilvl w:val="0"/>
                <w:numId w:val="0"/>
              </w:numPr>
              <w:jc w:val="both"/>
              <w:rPr>
                <w:rFonts w:hint="eastAsia" w:ascii="仿宋_GB2312" w:hAnsi="仿宋_GB2312" w:eastAsia="仿宋_GB2312" w:cs="仿宋_GB2312"/>
                <w:b w:val="0"/>
                <w:color w:val="000000"/>
                <w:sz w:val="28"/>
                <w:szCs w:val="28"/>
              </w:rPr>
            </w:pPr>
            <w:r>
              <w:rPr>
                <w:rFonts w:hint="eastAsia" w:ascii="仿宋_GB2312" w:hAnsi="仿宋_GB2312" w:eastAsia="仿宋_GB2312" w:cs="仿宋_GB2312"/>
                <w:b w:val="0"/>
                <w:color w:val="000000"/>
                <w:sz w:val="28"/>
                <w:szCs w:val="28"/>
              </w:rPr>
              <w:t>序号</w:t>
            </w:r>
          </w:p>
        </w:tc>
        <w:tc>
          <w:tcPr>
            <w:tcW w:w="4612" w:type="dxa"/>
            <w:tcBorders>
              <w:top w:val="single" w:color="000000" w:sz="12" w:space="0"/>
              <w:left w:val="nil"/>
              <w:bottom w:val="single" w:color="000000" w:sz="4" w:space="0"/>
              <w:right w:val="nil"/>
            </w:tcBorders>
            <w:shd w:val="clear" w:color="auto" w:fill="FFFFFF"/>
          </w:tcPr>
          <w:p w14:paraId="2288C1A9">
            <w:pPr>
              <w:widowControl w:val="0"/>
              <w:numPr>
                <w:ilvl w:val="0"/>
                <w:numId w:val="0"/>
              </w:numPr>
              <w:jc w:val="both"/>
              <w:rPr>
                <w:rFonts w:hint="eastAsia" w:ascii="仿宋_GB2312" w:hAnsi="仿宋_GB2312" w:eastAsia="仿宋_GB2312" w:cs="仿宋_GB2312"/>
                <w:b w:val="0"/>
                <w:color w:val="000000"/>
                <w:sz w:val="28"/>
                <w:szCs w:val="28"/>
              </w:rPr>
            </w:pPr>
            <w:r>
              <w:rPr>
                <w:rFonts w:hint="eastAsia" w:ascii="仿宋_GB2312" w:hAnsi="仿宋_GB2312" w:eastAsia="仿宋_GB2312" w:cs="仿宋_GB2312"/>
                <w:b w:val="0"/>
                <w:color w:val="000000"/>
                <w:sz w:val="28"/>
                <w:szCs w:val="28"/>
              </w:rPr>
              <w:t>交付物名称</w:t>
            </w:r>
          </w:p>
        </w:tc>
        <w:tc>
          <w:tcPr>
            <w:tcW w:w="2841" w:type="dxa"/>
            <w:tcBorders>
              <w:top w:val="single" w:color="000000" w:sz="12" w:space="0"/>
              <w:left w:val="nil"/>
              <w:bottom w:val="single" w:color="000000" w:sz="4" w:space="0"/>
              <w:right w:val="nil"/>
            </w:tcBorders>
            <w:shd w:val="clear" w:color="auto" w:fill="FFFFFF"/>
          </w:tcPr>
          <w:p w14:paraId="14B2BBCA">
            <w:pPr>
              <w:widowControl w:val="0"/>
              <w:numPr>
                <w:ilvl w:val="0"/>
                <w:numId w:val="0"/>
              </w:numPr>
              <w:jc w:val="both"/>
              <w:rPr>
                <w:rFonts w:hint="eastAsia" w:ascii="仿宋_GB2312" w:hAnsi="仿宋_GB2312" w:eastAsia="仿宋_GB2312" w:cs="仿宋_GB2312"/>
                <w:b w:val="0"/>
                <w:color w:val="000000"/>
                <w:sz w:val="28"/>
                <w:szCs w:val="28"/>
              </w:rPr>
            </w:pPr>
            <w:r>
              <w:rPr>
                <w:rFonts w:hint="eastAsia" w:ascii="仿宋_GB2312" w:hAnsi="仿宋_GB2312" w:eastAsia="仿宋_GB2312" w:cs="仿宋_GB2312"/>
                <w:b w:val="0"/>
                <w:color w:val="000000"/>
                <w:sz w:val="28"/>
                <w:szCs w:val="28"/>
              </w:rPr>
              <w:t>形式</w:t>
            </w:r>
          </w:p>
        </w:tc>
      </w:tr>
      <w:tr w14:paraId="1166D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tcBorders>
              <w:top w:val="single" w:color="000000" w:sz="4" w:space="0"/>
              <w:left w:val="nil"/>
              <w:bottom w:val="nil"/>
              <w:right w:val="nil"/>
            </w:tcBorders>
            <w:shd w:val="clear" w:color="auto" w:fill="FFFFFF"/>
          </w:tcPr>
          <w:p w14:paraId="10A41608">
            <w:pPr>
              <w:widowControl w:val="0"/>
              <w:numPr>
                <w:ilvl w:val="0"/>
                <w:numId w:val="0"/>
              </w:numPr>
              <w:jc w:val="both"/>
              <w:rPr>
                <w:rFonts w:hint="eastAsia" w:ascii="仿宋_GB2312" w:hAnsi="仿宋_GB2312" w:eastAsia="仿宋_GB2312" w:cs="仿宋_GB2312"/>
                <w:b w:val="0"/>
                <w:color w:val="000000"/>
                <w:sz w:val="28"/>
                <w:szCs w:val="28"/>
              </w:rPr>
            </w:pPr>
            <w:r>
              <w:rPr>
                <w:rFonts w:hint="eastAsia" w:ascii="仿宋_GB2312" w:hAnsi="仿宋_GB2312" w:eastAsia="仿宋_GB2312" w:cs="仿宋_GB2312"/>
                <w:b w:val="0"/>
                <w:color w:val="000000"/>
                <w:sz w:val="28"/>
                <w:szCs w:val="28"/>
              </w:rPr>
              <w:t>1</w:t>
            </w:r>
          </w:p>
        </w:tc>
        <w:tc>
          <w:tcPr>
            <w:tcW w:w="4612" w:type="dxa"/>
            <w:tcBorders>
              <w:top w:val="single" w:color="000000" w:sz="4" w:space="0"/>
              <w:left w:val="nil"/>
              <w:bottom w:val="nil"/>
              <w:right w:val="nil"/>
            </w:tcBorders>
            <w:shd w:val="clear" w:color="auto" w:fill="FFFFFF"/>
          </w:tcPr>
          <w:p w14:paraId="7EE8C53A">
            <w:pPr>
              <w:widowControl w:val="0"/>
              <w:numPr>
                <w:ilvl w:val="0"/>
                <w:numId w:val="0"/>
              </w:numPr>
              <w:jc w:val="both"/>
              <w:rPr>
                <w:rFonts w:hint="eastAsia" w:ascii="仿宋_GB2312" w:hAnsi="仿宋_GB2312" w:eastAsia="仿宋_GB2312" w:cs="仿宋_GB2312"/>
                <w:b w:val="0"/>
                <w:color w:val="000000"/>
                <w:sz w:val="28"/>
                <w:szCs w:val="28"/>
              </w:rPr>
            </w:pPr>
            <w:r>
              <w:rPr>
                <w:rFonts w:hint="eastAsia" w:ascii="仿宋_GB2312" w:hAnsi="仿宋_GB2312" w:eastAsia="仿宋_GB2312" w:cs="仿宋_GB2312"/>
                <w:b w:val="0"/>
                <w:color w:val="000000"/>
                <w:sz w:val="28"/>
                <w:szCs w:val="28"/>
              </w:rPr>
              <w:t>2026年度三级等保测评报告</w:t>
            </w:r>
          </w:p>
        </w:tc>
        <w:tc>
          <w:tcPr>
            <w:tcW w:w="2841" w:type="dxa"/>
            <w:tcBorders>
              <w:top w:val="single" w:color="000000" w:sz="4" w:space="0"/>
              <w:left w:val="nil"/>
              <w:bottom w:val="nil"/>
              <w:right w:val="nil"/>
            </w:tcBorders>
            <w:shd w:val="clear" w:color="auto" w:fill="FFFFFF"/>
          </w:tcPr>
          <w:p w14:paraId="286504BE">
            <w:pPr>
              <w:widowControl w:val="0"/>
              <w:numPr>
                <w:ilvl w:val="0"/>
                <w:numId w:val="0"/>
              </w:numPr>
              <w:jc w:val="both"/>
              <w:rPr>
                <w:rFonts w:hint="eastAsia" w:ascii="仿宋_GB2312" w:hAnsi="仿宋_GB2312" w:eastAsia="仿宋_GB2312" w:cs="仿宋_GB2312"/>
                <w:b w:val="0"/>
                <w:color w:val="000000"/>
                <w:sz w:val="28"/>
                <w:szCs w:val="28"/>
              </w:rPr>
            </w:pPr>
            <w:r>
              <w:rPr>
                <w:rFonts w:hint="eastAsia" w:ascii="仿宋_GB2312" w:hAnsi="仿宋_GB2312" w:eastAsia="仿宋_GB2312" w:cs="仿宋_GB2312"/>
                <w:b w:val="0"/>
                <w:color w:val="000000"/>
                <w:sz w:val="28"/>
                <w:szCs w:val="28"/>
              </w:rPr>
              <w:t>纸质+电子</w:t>
            </w:r>
          </w:p>
        </w:tc>
      </w:tr>
      <w:tr w14:paraId="6CFCC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tcBorders>
              <w:top w:val="nil"/>
              <w:left w:val="nil"/>
              <w:bottom w:val="nil"/>
              <w:right w:val="nil"/>
            </w:tcBorders>
            <w:shd w:val="clear" w:color="auto" w:fill="FFFFFF"/>
          </w:tcPr>
          <w:p w14:paraId="685C1C9C">
            <w:pPr>
              <w:widowControl w:val="0"/>
              <w:numPr>
                <w:ilvl w:val="0"/>
                <w:numId w:val="0"/>
              </w:numPr>
              <w:jc w:val="both"/>
              <w:rPr>
                <w:rFonts w:hint="eastAsia" w:ascii="仿宋_GB2312" w:hAnsi="仿宋_GB2312" w:eastAsia="仿宋_GB2312" w:cs="仿宋_GB2312"/>
                <w:b w:val="0"/>
                <w:color w:val="000000"/>
                <w:sz w:val="28"/>
                <w:szCs w:val="28"/>
              </w:rPr>
            </w:pPr>
            <w:r>
              <w:rPr>
                <w:rFonts w:hint="eastAsia" w:ascii="仿宋_GB2312" w:hAnsi="仿宋_GB2312" w:eastAsia="仿宋_GB2312" w:cs="仿宋_GB2312"/>
                <w:b w:val="0"/>
                <w:color w:val="000000"/>
                <w:sz w:val="28"/>
                <w:szCs w:val="28"/>
              </w:rPr>
              <w:t>2</w:t>
            </w:r>
          </w:p>
        </w:tc>
        <w:tc>
          <w:tcPr>
            <w:tcW w:w="4612" w:type="dxa"/>
            <w:tcBorders>
              <w:top w:val="nil"/>
              <w:left w:val="nil"/>
              <w:bottom w:val="nil"/>
              <w:right w:val="nil"/>
            </w:tcBorders>
            <w:shd w:val="clear" w:color="auto" w:fill="FFFFFF"/>
          </w:tcPr>
          <w:p w14:paraId="49838E61">
            <w:pPr>
              <w:widowControl w:val="0"/>
              <w:numPr>
                <w:ilvl w:val="0"/>
                <w:numId w:val="0"/>
              </w:numPr>
              <w:jc w:val="both"/>
              <w:rPr>
                <w:rFonts w:hint="eastAsia" w:ascii="仿宋_GB2312" w:hAnsi="仿宋_GB2312" w:eastAsia="仿宋_GB2312" w:cs="仿宋_GB2312"/>
                <w:b w:val="0"/>
                <w:color w:val="000000"/>
                <w:sz w:val="28"/>
                <w:szCs w:val="28"/>
              </w:rPr>
            </w:pPr>
            <w:r>
              <w:rPr>
                <w:rFonts w:hint="eastAsia" w:ascii="仿宋_GB2312" w:hAnsi="仿宋_GB2312" w:eastAsia="仿宋_GB2312" w:cs="仿宋_GB2312"/>
                <w:b w:val="0"/>
                <w:color w:val="000000"/>
                <w:sz w:val="28"/>
                <w:szCs w:val="28"/>
              </w:rPr>
              <w:t>与前次测评对比及趋势分析报告</w:t>
            </w:r>
          </w:p>
        </w:tc>
        <w:tc>
          <w:tcPr>
            <w:tcW w:w="2841" w:type="dxa"/>
            <w:tcBorders>
              <w:top w:val="nil"/>
              <w:left w:val="nil"/>
              <w:bottom w:val="nil"/>
              <w:right w:val="nil"/>
            </w:tcBorders>
            <w:shd w:val="clear" w:color="auto" w:fill="FFFFFF"/>
          </w:tcPr>
          <w:p w14:paraId="1CF61434">
            <w:pPr>
              <w:widowControl w:val="0"/>
              <w:numPr>
                <w:ilvl w:val="0"/>
                <w:numId w:val="0"/>
              </w:numPr>
              <w:jc w:val="both"/>
              <w:rPr>
                <w:rFonts w:hint="eastAsia" w:ascii="仿宋_GB2312" w:hAnsi="仿宋_GB2312" w:eastAsia="仿宋_GB2312" w:cs="仿宋_GB2312"/>
                <w:b w:val="0"/>
                <w:color w:val="000000"/>
                <w:sz w:val="28"/>
                <w:szCs w:val="28"/>
              </w:rPr>
            </w:pPr>
            <w:r>
              <w:rPr>
                <w:rFonts w:hint="eastAsia" w:ascii="仿宋_GB2312" w:hAnsi="仿宋_GB2312" w:eastAsia="仿宋_GB2312" w:cs="仿宋_GB2312"/>
                <w:b w:val="0"/>
                <w:color w:val="000000"/>
                <w:sz w:val="28"/>
                <w:szCs w:val="28"/>
              </w:rPr>
              <w:t>纸质+电子</w:t>
            </w:r>
          </w:p>
        </w:tc>
      </w:tr>
      <w:tr w14:paraId="1068B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tcBorders>
              <w:top w:val="nil"/>
              <w:left w:val="nil"/>
              <w:bottom w:val="nil"/>
              <w:right w:val="nil"/>
            </w:tcBorders>
            <w:shd w:val="clear" w:color="auto" w:fill="FFFFFF"/>
          </w:tcPr>
          <w:p w14:paraId="1207F19C">
            <w:pPr>
              <w:widowControl w:val="0"/>
              <w:numPr>
                <w:ilvl w:val="0"/>
                <w:numId w:val="0"/>
              </w:numPr>
              <w:jc w:val="both"/>
              <w:rPr>
                <w:rFonts w:hint="eastAsia" w:ascii="仿宋_GB2312" w:hAnsi="仿宋_GB2312" w:eastAsia="仿宋_GB2312" w:cs="仿宋_GB2312"/>
                <w:b w:val="0"/>
                <w:color w:val="000000"/>
                <w:sz w:val="28"/>
                <w:szCs w:val="28"/>
              </w:rPr>
            </w:pPr>
            <w:r>
              <w:rPr>
                <w:rFonts w:hint="eastAsia" w:ascii="仿宋_GB2312" w:hAnsi="仿宋_GB2312" w:eastAsia="仿宋_GB2312" w:cs="仿宋_GB2312"/>
                <w:b w:val="0"/>
                <w:color w:val="000000"/>
                <w:sz w:val="28"/>
                <w:szCs w:val="28"/>
              </w:rPr>
              <w:t>3</w:t>
            </w:r>
          </w:p>
        </w:tc>
        <w:tc>
          <w:tcPr>
            <w:tcW w:w="4612" w:type="dxa"/>
            <w:tcBorders>
              <w:top w:val="nil"/>
              <w:left w:val="nil"/>
              <w:bottom w:val="nil"/>
              <w:right w:val="nil"/>
            </w:tcBorders>
            <w:shd w:val="clear" w:color="auto" w:fill="FFFFFF"/>
          </w:tcPr>
          <w:p w14:paraId="41A47C1C">
            <w:pPr>
              <w:widowControl w:val="0"/>
              <w:numPr>
                <w:ilvl w:val="0"/>
                <w:numId w:val="0"/>
              </w:numPr>
              <w:jc w:val="both"/>
              <w:rPr>
                <w:rFonts w:hint="eastAsia" w:ascii="仿宋_GB2312" w:hAnsi="仿宋_GB2312" w:eastAsia="仿宋_GB2312" w:cs="仿宋_GB2312"/>
                <w:b w:val="0"/>
                <w:color w:val="000000"/>
                <w:sz w:val="28"/>
                <w:szCs w:val="28"/>
              </w:rPr>
            </w:pPr>
            <w:r>
              <w:rPr>
                <w:rFonts w:hint="eastAsia" w:ascii="仿宋_GB2312" w:hAnsi="仿宋_GB2312" w:eastAsia="仿宋_GB2312" w:cs="仿宋_GB2312"/>
                <w:b w:val="0"/>
                <w:color w:val="000000"/>
                <w:sz w:val="28"/>
                <w:szCs w:val="28"/>
              </w:rPr>
              <w:t>安全问题整改建议书（含配置指导）</w:t>
            </w:r>
          </w:p>
        </w:tc>
        <w:tc>
          <w:tcPr>
            <w:tcW w:w="2841" w:type="dxa"/>
            <w:tcBorders>
              <w:top w:val="nil"/>
              <w:left w:val="nil"/>
              <w:bottom w:val="nil"/>
              <w:right w:val="nil"/>
            </w:tcBorders>
            <w:shd w:val="clear" w:color="auto" w:fill="FFFFFF"/>
          </w:tcPr>
          <w:p w14:paraId="52C12CB8">
            <w:pPr>
              <w:widowControl w:val="0"/>
              <w:numPr>
                <w:ilvl w:val="0"/>
                <w:numId w:val="0"/>
              </w:numPr>
              <w:jc w:val="both"/>
              <w:rPr>
                <w:rFonts w:hint="eastAsia" w:ascii="仿宋_GB2312" w:hAnsi="仿宋_GB2312" w:eastAsia="仿宋_GB2312" w:cs="仿宋_GB2312"/>
                <w:b w:val="0"/>
                <w:color w:val="000000"/>
                <w:sz w:val="28"/>
                <w:szCs w:val="28"/>
              </w:rPr>
            </w:pPr>
            <w:r>
              <w:rPr>
                <w:rFonts w:hint="eastAsia" w:ascii="仿宋_GB2312" w:hAnsi="仿宋_GB2312" w:eastAsia="仿宋_GB2312" w:cs="仿宋_GB2312"/>
                <w:b w:val="0"/>
                <w:color w:val="000000"/>
                <w:sz w:val="28"/>
                <w:szCs w:val="28"/>
              </w:rPr>
              <w:t>纸质+电子</w:t>
            </w:r>
          </w:p>
        </w:tc>
      </w:tr>
      <w:tr w14:paraId="0A8BF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tcBorders>
              <w:top w:val="nil"/>
              <w:left w:val="nil"/>
              <w:bottom w:val="single" w:color="000000" w:sz="12" w:space="0"/>
              <w:right w:val="nil"/>
            </w:tcBorders>
            <w:shd w:val="clear" w:color="auto" w:fill="FFFFFF"/>
          </w:tcPr>
          <w:p w14:paraId="1C0337A1">
            <w:pPr>
              <w:widowControl w:val="0"/>
              <w:numPr>
                <w:ilvl w:val="0"/>
                <w:numId w:val="0"/>
              </w:numPr>
              <w:jc w:val="both"/>
              <w:rPr>
                <w:rFonts w:hint="eastAsia" w:ascii="仿宋_GB2312" w:hAnsi="仿宋_GB2312" w:eastAsia="仿宋_GB2312" w:cs="仿宋_GB2312"/>
                <w:b w:val="0"/>
                <w:color w:val="000000"/>
                <w:sz w:val="28"/>
                <w:szCs w:val="28"/>
              </w:rPr>
            </w:pPr>
            <w:r>
              <w:rPr>
                <w:rFonts w:hint="eastAsia" w:ascii="仿宋_GB2312" w:hAnsi="仿宋_GB2312" w:eastAsia="仿宋_GB2312" w:cs="仿宋_GB2312"/>
                <w:b w:val="0"/>
                <w:color w:val="000000"/>
                <w:sz w:val="28"/>
                <w:szCs w:val="28"/>
              </w:rPr>
              <w:t>4</w:t>
            </w:r>
          </w:p>
        </w:tc>
        <w:tc>
          <w:tcPr>
            <w:tcW w:w="4612" w:type="dxa"/>
            <w:tcBorders>
              <w:top w:val="nil"/>
              <w:left w:val="nil"/>
              <w:bottom w:val="single" w:color="000000" w:sz="12" w:space="0"/>
              <w:right w:val="nil"/>
            </w:tcBorders>
            <w:shd w:val="clear" w:color="auto" w:fill="FFFFFF"/>
          </w:tcPr>
          <w:p w14:paraId="3B429C65">
            <w:pPr>
              <w:widowControl w:val="0"/>
              <w:numPr>
                <w:ilvl w:val="0"/>
                <w:numId w:val="0"/>
              </w:numPr>
              <w:jc w:val="both"/>
              <w:rPr>
                <w:rFonts w:hint="eastAsia" w:ascii="仿宋_GB2312" w:hAnsi="仿宋_GB2312" w:eastAsia="仿宋_GB2312" w:cs="仿宋_GB2312"/>
                <w:b w:val="0"/>
                <w:color w:val="000000"/>
                <w:sz w:val="28"/>
                <w:szCs w:val="28"/>
              </w:rPr>
            </w:pPr>
            <w:r>
              <w:rPr>
                <w:rFonts w:hint="eastAsia" w:ascii="仿宋_GB2312" w:hAnsi="仿宋_GB2312" w:eastAsia="仿宋_GB2312" w:cs="仿宋_GB2312"/>
                <w:b w:val="0"/>
                <w:color w:val="000000"/>
                <w:sz w:val="28"/>
                <w:szCs w:val="28"/>
              </w:rPr>
              <w:t>备案信息变更确认/更新结果</w:t>
            </w:r>
          </w:p>
        </w:tc>
        <w:tc>
          <w:tcPr>
            <w:tcW w:w="2841" w:type="dxa"/>
            <w:tcBorders>
              <w:top w:val="nil"/>
              <w:left w:val="nil"/>
              <w:bottom w:val="single" w:color="000000" w:sz="12" w:space="0"/>
              <w:right w:val="nil"/>
            </w:tcBorders>
            <w:shd w:val="clear" w:color="auto" w:fill="FFFFFF"/>
          </w:tcPr>
          <w:p w14:paraId="7C4696DE">
            <w:pPr>
              <w:widowControl w:val="0"/>
              <w:numPr>
                <w:ilvl w:val="0"/>
                <w:numId w:val="0"/>
              </w:numPr>
              <w:jc w:val="both"/>
              <w:rPr>
                <w:rFonts w:hint="eastAsia" w:ascii="仿宋_GB2312" w:hAnsi="仿宋_GB2312" w:eastAsia="仿宋_GB2312" w:cs="仿宋_GB2312"/>
                <w:b w:val="0"/>
                <w:color w:val="000000"/>
                <w:sz w:val="28"/>
                <w:szCs w:val="28"/>
              </w:rPr>
            </w:pPr>
            <w:r>
              <w:rPr>
                <w:rFonts w:hint="eastAsia" w:ascii="仿宋_GB2312" w:hAnsi="仿宋_GB2312" w:eastAsia="仿宋_GB2312" w:cs="仿宋_GB2312"/>
                <w:b w:val="0"/>
                <w:color w:val="000000"/>
                <w:sz w:val="28"/>
                <w:szCs w:val="28"/>
              </w:rPr>
              <w:t>纸质复印件</w:t>
            </w:r>
          </w:p>
        </w:tc>
      </w:tr>
    </w:tbl>
    <w:p w14:paraId="3A9EEDA4">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rFonts w:hint="eastAsia" w:ascii="黑体" w:hAnsi="黑体" w:eastAsia="黑体" w:cs="黑体"/>
          <w:b/>
          <w:bCs/>
          <w:color w:val="000000"/>
          <w:kern w:val="0"/>
          <w:sz w:val="28"/>
          <w:szCs w:val="28"/>
          <w:lang w:val="en-US" w:eastAsia="zh-CN" w:bidi="ar"/>
        </w:rPr>
      </w:pPr>
      <w:r>
        <w:rPr>
          <w:rFonts w:hint="eastAsia" w:ascii="黑体" w:hAnsi="黑体" w:eastAsia="黑体" w:cs="黑体"/>
          <w:b/>
          <w:bCs/>
          <w:color w:val="000000"/>
          <w:kern w:val="0"/>
          <w:sz w:val="28"/>
          <w:szCs w:val="28"/>
          <w:lang w:val="en-US" w:eastAsia="zh-CN" w:bidi="ar"/>
        </w:rPr>
        <w:t>实施要求</w:t>
      </w:r>
    </w:p>
    <w:p w14:paraId="3D1FD31F">
      <w:pPr>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启动时间：合同签订后 5 个工作日内进场</w:t>
      </w:r>
    </w:p>
    <w:p w14:paraId="2D5BD8DA">
      <w:pPr>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现场测评：不超过 15 个工作日</w:t>
      </w:r>
    </w:p>
    <w:p w14:paraId="4D271D6C">
      <w:pPr>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人员要求：</w:t>
      </w:r>
    </w:p>
    <w:p w14:paraId="0F1BA5DA">
      <w:pPr>
        <w:keepNext w:val="0"/>
        <w:keepLines w:val="0"/>
        <w:widowControl/>
        <w:numPr>
          <w:ilvl w:val="0"/>
          <w:numId w:val="1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项目负责人：高级测评师</w:t>
      </w:r>
    </w:p>
    <w:p w14:paraId="2B82609A">
      <w:pPr>
        <w:keepNext w:val="0"/>
        <w:keepLines w:val="0"/>
        <w:widowControl/>
        <w:numPr>
          <w:ilvl w:val="0"/>
          <w:numId w:val="1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现场实施人员：至少 2 名中级及以上测评师</w:t>
      </w:r>
    </w:p>
    <w:p w14:paraId="1A2B0217">
      <w:pPr>
        <w:keepNext w:val="0"/>
        <w:keepLines w:val="0"/>
        <w:widowControl/>
        <w:numPr>
          <w:ilvl w:val="0"/>
          <w:numId w:val="1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kern w:val="0"/>
          <w:sz w:val="28"/>
          <w:szCs w:val="28"/>
          <w:lang w:val="en-US" w:eastAsia="zh-CN" w:bidi="ar"/>
        </w:rPr>
        <w:t>保密要求：进场前签订保密协议</w:t>
      </w:r>
    </w:p>
    <w:p w14:paraId="2A540873">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rFonts w:hint="eastAsia" w:ascii="黑体" w:hAnsi="黑体" w:eastAsia="黑体" w:cs="黑体"/>
          <w:b/>
          <w:bCs/>
          <w:color w:val="000000"/>
          <w:kern w:val="0"/>
          <w:sz w:val="28"/>
          <w:szCs w:val="28"/>
          <w:lang w:val="en-US" w:eastAsia="zh-CN" w:bidi="ar"/>
        </w:rPr>
      </w:pPr>
      <w:r>
        <w:rPr>
          <w:rFonts w:hint="eastAsia" w:ascii="黑体" w:hAnsi="黑体" w:eastAsia="黑体" w:cs="黑体"/>
          <w:b/>
          <w:bCs/>
          <w:color w:val="000000"/>
          <w:kern w:val="0"/>
          <w:sz w:val="28"/>
          <w:szCs w:val="28"/>
          <w:lang w:val="en-US" w:eastAsia="zh-CN" w:bidi="ar"/>
        </w:rPr>
        <w:t>其他要求</w:t>
      </w:r>
    </w:p>
    <w:p w14:paraId="7E3D301A">
      <w:pPr>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供应商须承诺：对采购人整改情况进行免费复核（不限次数，直至通过）</w:t>
      </w:r>
    </w:p>
    <w:p w14:paraId="48BDE403">
      <w:pPr>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kern w:val="0"/>
          <w:sz w:val="28"/>
          <w:szCs w:val="28"/>
          <w:lang w:val="en-US" w:eastAsia="zh-CN" w:bidi="ar"/>
        </w:rPr>
        <w:t>若系统在测评期间发生重大变更，供应商应配合调整测评范围，不额外增加费用</w:t>
      </w:r>
    </w:p>
    <w:p w14:paraId="72B9CB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方正仿宋_GB2312" w:hAnsi="方正仿宋_GB2312" w:eastAsia="方正仿宋_GB2312" w:cs="方正仿宋_GB2312"/>
          <w:color w:val="000000"/>
          <w:kern w:val="0"/>
          <w:sz w:val="28"/>
          <w:szCs w:val="28"/>
          <w:lang w:val="en-US" w:eastAsia="zh-CN" w:bidi="ar"/>
        </w:rPr>
      </w:pPr>
    </w:p>
    <w:p w14:paraId="23CE1E46">
      <w:pPr>
        <w:keepNext w:val="0"/>
        <w:keepLines w:val="0"/>
        <w:widowControl/>
        <w:numPr>
          <w:ilvl w:val="0"/>
          <w:numId w:val="16"/>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黑体" w:hAnsi="黑体" w:eastAsia="黑体" w:cs="黑体"/>
          <w:b/>
          <w:bCs/>
          <w:color w:val="000000"/>
          <w:kern w:val="0"/>
          <w:sz w:val="28"/>
          <w:szCs w:val="28"/>
          <w:lang w:val="en-US" w:eastAsia="zh-CN" w:bidi="ar"/>
        </w:rPr>
      </w:pPr>
      <w:r>
        <w:rPr>
          <w:rFonts w:hint="eastAsia" w:ascii="黑体" w:hAnsi="黑体" w:eastAsia="黑体" w:cs="黑体"/>
          <w:b/>
          <w:bCs/>
          <w:color w:val="000000"/>
          <w:kern w:val="0"/>
          <w:sz w:val="28"/>
          <w:szCs w:val="28"/>
          <w:lang w:val="en-US" w:eastAsia="zh-CN" w:bidi="ar"/>
        </w:rPr>
        <w:t>评审办法（询价，最低价成交）</w:t>
      </w:r>
    </w:p>
    <w:p w14:paraId="7FBEBC70">
      <w:pPr>
        <w:keepNext w:val="0"/>
        <w:keepLines w:val="0"/>
        <w:widowControl/>
        <w:numPr>
          <w:ilvl w:val="0"/>
          <w:numId w:val="17"/>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eastAsia" w:ascii="方正仿宋_GB2312" w:hAnsi="方正仿宋_GB2312" w:eastAsia="方正仿宋_GB2312" w:cs="方正仿宋_GB2312"/>
          <w:b/>
          <w:bCs/>
          <w:color w:val="000000"/>
          <w:kern w:val="0"/>
          <w:sz w:val="28"/>
          <w:szCs w:val="28"/>
          <w:lang w:val="en-US" w:eastAsia="zh-CN" w:bidi="ar"/>
        </w:rPr>
      </w:pPr>
      <w:r>
        <w:rPr>
          <w:rFonts w:hint="eastAsia" w:ascii="方正仿宋_GB2312" w:hAnsi="方正仿宋_GB2312" w:eastAsia="方正仿宋_GB2312" w:cs="方正仿宋_GB2312"/>
          <w:b/>
          <w:bCs/>
          <w:color w:val="000000"/>
          <w:kern w:val="0"/>
          <w:sz w:val="28"/>
          <w:szCs w:val="28"/>
          <w:lang w:val="en-US" w:eastAsia="zh-CN" w:bidi="ar"/>
        </w:rPr>
        <w:t>评审原则</w:t>
      </w:r>
    </w:p>
    <w:p w14:paraId="12B578B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kern w:val="0"/>
          <w:sz w:val="28"/>
          <w:szCs w:val="28"/>
          <w:lang w:val="en-US" w:eastAsia="zh-CN" w:bidi="ar"/>
        </w:rPr>
        <w:t>本次询价采用资格审查合格、实质性响应前提下，最低价成交原则。</w:t>
      </w:r>
    </w:p>
    <w:p w14:paraId="363E6721">
      <w:pPr>
        <w:keepNext w:val="0"/>
        <w:keepLines w:val="0"/>
        <w:widowControl/>
        <w:numPr>
          <w:ilvl w:val="0"/>
          <w:numId w:val="17"/>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rFonts w:hint="eastAsia" w:ascii="方正仿宋_GB2312" w:hAnsi="方正仿宋_GB2312" w:eastAsia="方正仿宋_GB2312" w:cs="方正仿宋_GB2312"/>
          <w:b/>
          <w:bCs/>
          <w:color w:val="000000"/>
          <w:kern w:val="0"/>
          <w:sz w:val="28"/>
          <w:szCs w:val="28"/>
          <w:lang w:val="en-US" w:eastAsia="zh-CN" w:bidi="ar"/>
        </w:rPr>
      </w:pPr>
      <w:r>
        <w:rPr>
          <w:rFonts w:hint="eastAsia" w:ascii="方正仿宋_GB2312" w:hAnsi="方正仿宋_GB2312" w:eastAsia="方正仿宋_GB2312" w:cs="方正仿宋_GB2312"/>
          <w:b/>
          <w:bCs/>
          <w:color w:val="000000"/>
          <w:kern w:val="0"/>
          <w:sz w:val="28"/>
          <w:szCs w:val="28"/>
          <w:lang w:val="en-US" w:eastAsia="zh-CN" w:bidi="ar"/>
        </w:rPr>
        <w:t>资格审查（符合性审查）</w:t>
      </w:r>
    </w:p>
    <w:p w14:paraId="4F76C09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Chars="0" w:right="0" w:right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供应商须同时满足：</w:t>
      </w:r>
    </w:p>
    <w:p w14:paraId="5A5D1F83">
      <w:pPr>
        <w:keepNext w:val="0"/>
        <w:keepLines w:val="0"/>
        <w:widowControl/>
        <w:numPr>
          <w:ilvl w:val="0"/>
          <w:numId w:val="1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Chars="0" w:right="0" w:right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符合第一章 “供应商资格要求”；</w:t>
      </w:r>
    </w:p>
    <w:p w14:paraId="4FCA095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kern w:val="0"/>
          <w:sz w:val="28"/>
          <w:szCs w:val="28"/>
          <w:lang w:val="en-US" w:eastAsia="zh-CN" w:bidi="ar"/>
        </w:rPr>
        <w:t>2. 响应文件完整、有效、无重大偏离；</w:t>
      </w:r>
    </w:p>
    <w:p w14:paraId="198F035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3. 报价≤最高限价 3 万元；</w:t>
      </w:r>
    </w:p>
    <w:p w14:paraId="1FCBBCA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kern w:val="0"/>
          <w:sz w:val="28"/>
          <w:szCs w:val="28"/>
          <w:lang w:val="en-US" w:eastAsia="zh-CN" w:bidi="ar"/>
        </w:rPr>
        <w:t>4. 服务内容、服务期限、成果交付、免费复核承诺等实质性要求均响应。</w:t>
      </w:r>
    </w:p>
    <w:p w14:paraId="352E92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方正仿宋_GB2312" w:hAnsi="方正仿宋_GB2312" w:eastAsia="方正仿宋_GB2312" w:cs="方正仿宋_GB2312"/>
          <w:b/>
          <w:bCs/>
          <w:color w:val="000000"/>
          <w:kern w:val="0"/>
          <w:sz w:val="28"/>
          <w:szCs w:val="28"/>
          <w:lang w:val="en-US" w:eastAsia="zh-CN" w:bidi="ar"/>
        </w:rPr>
      </w:pPr>
      <w:r>
        <w:rPr>
          <w:rFonts w:hint="eastAsia" w:ascii="方正仿宋_GB2312" w:hAnsi="方正仿宋_GB2312" w:eastAsia="方正仿宋_GB2312" w:cs="方正仿宋_GB2312"/>
          <w:b/>
          <w:bCs/>
          <w:color w:val="000000"/>
          <w:kern w:val="0"/>
          <w:sz w:val="28"/>
          <w:szCs w:val="28"/>
          <w:lang w:val="en-US" w:eastAsia="zh-CN" w:bidi="ar"/>
        </w:rPr>
        <w:t>三、成交规则</w:t>
      </w:r>
    </w:p>
    <w:p w14:paraId="635B21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1. 资格审查通过且实质性响应的供应商，按最终报价由低到高排序；2. 报价最低者为成交候选人；</w:t>
      </w:r>
    </w:p>
    <w:p w14:paraId="4581C5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kern w:val="0"/>
          <w:sz w:val="28"/>
          <w:szCs w:val="28"/>
          <w:lang w:val="en-US" w:eastAsia="zh-CN" w:bidi="ar"/>
        </w:rPr>
        <w:t>3. 若报价相同，以同类三级等保测评业绩数量多者优先；业绩相同，抽签确定。</w:t>
      </w:r>
    </w:p>
    <w:p w14:paraId="0AB429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黑体" w:hAnsi="黑体" w:eastAsia="黑体" w:cs="黑体"/>
          <w:b/>
          <w:bCs/>
          <w:color w:val="000000"/>
          <w:kern w:val="0"/>
          <w:sz w:val="28"/>
          <w:szCs w:val="28"/>
          <w:lang w:val="en-US" w:eastAsia="zh-CN" w:bidi="ar"/>
        </w:rPr>
      </w:pPr>
    </w:p>
    <w:p w14:paraId="05420B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黑体" w:hAnsi="黑体" w:eastAsia="黑体" w:cs="黑体"/>
          <w:b/>
          <w:bCs/>
          <w:color w:val="000000"/>
          <w:kern w:val="0"/>
          <w:sz w:val="28"/>
          <w:szCs w:val="28"/>
          <w:lang w:val="en-US" w:eastAsia="zh-CN" w:bidi="ar"/>
        </w:rPr>
      </w:pPr>
      <w:r>
        <w:rPr>
          <w:rFonts w:hint="eastAsia" w:ascii="黑体" w:hAnsi="黑体" w:eastAsia="黑体" w:cs="黑体"/>
          <w:b/>
          <w:bCs/>
          <w:color w:val="000000"/>
          <w:kern w:val="0"/>
          <w:sz w:val="28"/>
          <w:szCs w:val="28"/>
          <w:lang w:val="en-US" w:eastAsia="zh-CN" w:bidi="ar"/>
        </w:rPr>
        <w:t>第四章 合同主要条款（草案）</w:t>
      </w:r>
    </w:p>
    <w:p w14:paraId="382AF5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黑体" w:hAnsi="黑体" w:eastAsia="黑体" w:cs="黑体"/>
          <w:b/>
          <w:bCs/>
          <w:color w:val="000000"/>
          <w:kern w:val="0"/>
          <w:sz w:val="28"/>
          <w:szCs w:val="28"/>
          <w:lang w:val="en-US" w:eastAsia="zh-CN" w:bidi="ar"/>
        </w:rPr>
      </w:pPr>
      <w:r>
        <w:rPr>
          <w:rFonts w:hint="eastAsia" w:ascii="黑体" w:hAnsi="黑体" w:eastAsia="黑体" w:cs="黑体"/>
          <w:b/>
          <w:bCs/>
          <w:color w:val="000000"/>
          <w:kern w:val="0"/>
          <w:sz w:val="28"/>
          <w:szCs w:val="28"/>
          <w:lang w:val="en-US" w:eastAsia="zh-CN" w:bidi="ar"/>
        </w:rPr>
        <w:t>一、合同金额及付款方式</w:t>
      </w:r>
    </w:p>
    <w:p w14:paraId="2CE9B8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合同签订后：支付 50%</w:t>
      </w:r>
    </w:p>
    <w:p w14:paraId="49564A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kern w:val="0"/>
          <w:sz w:val="28"/>
          <w:szCs w:val="28"/>
          <w:lang w:val="en-US" w:eastAsia="zh-CN" w:bidi="ar"/>
        </w:rPr>
        <w:t>正式报告交付验收通过后：支付 50%</w:t>
      </w:r>
    </w:p>
    <w:p w14:paraId="606E14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黑体" w:hAnsi="黑体" w:eastAsia="黑体" w:cs="黑体"/>
          <w:b/>
          <w:bCs/>
          <w:color w:val="000000"/>
          <w:kern w:val="0"/>
          <w:sz w:val="28"/>
          <w:szCs w:val="28"/>
          <w:lang w:val="en-US" w:eastAsia="zh-CN" w:bidi="ar"/>
        </w:rPr>
      </w:pPr>
      <w:r>
        <w:rPr>
          <w:rFonts w:hint="eastAsia" w:ascii="黑体" w:hAnsi="黑体" w:eastAsia="黑体" w:cs="黑体"/>
          <w:b/>
          <w:bCs/>
          <w:color w:val="000000"/>
          <w:kern w:val="0"/>
          <w:sz w:val="28"/>
          <w:szCs w:val="28"/>
          <w:lang w:val="en-US" w:eastAsia="zh-CN" w:bidi="ar"/>
        </w:rPr>
        <w:t>二、服务期限</w:t>
      </w:r>
    </w:p>
    <w:p w14:paraId="341635F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Chars="0" w:right="0" w:rightChars="0"/>
        <w:jc w:val="lef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kern w:val="0"/>
          <w:sz w:val="28"/>
          <w:szCs w:val="28"/>
          <w:lang w:val="en-US" w:eastAsia="zh-CN" w:bidi="ar"/>
        </w:rPr>
        <w:t>合同签订后 45 个工作日内完成全部服务。</w:t>
      </w:r>
    </w:p>
    <w:p w14:paraId="02F8DC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黑体" w:hAnsi="黑体" w:eastAsia="黑体" w:cs="黑体"/>
          <w:b/>
          <w:bCs/>
          <w:color w:val="000000"/>
          <w:kern w:val="0"/>
          <w:sz w:val="28"/>
          <w:szCs w:val="28"/>
          <w:lang w:val="en-US" w:eastAsia="zh-CN" w:bidi="ar"/>
        </w:rPr>
      </w:pPr>
      <w:r>
        <w:rPr>
          <w:rFonts w:hint="eastAsia" w:ascii="黑体" w:hAnsi="黑体" w:eastAsia="黑体" w:cs="黑体"/>
          <w:b/>
          <w:bCs/>
          <w:color w:val="000000"/>
          <w:kern w:val="0"/>
          <w:sz w:val="28"/>
          <w:szCs w:val="28"/>
          <w:lang w:val="en-US" w:eastAsia="zh-CN" w:bidi="ar"/>
        </w:rPr>
        <w:t>三、保密条款</w:t>
      </w:r>
    </w:p>
    <w:p w14:paraId="179A0E1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Chars="0" w:right="0" w:right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供应商及所有项目人员对接触到的系统架构、业务数据、测评结果等永久保密，不得用于任何与本项目无关的用途。</w:t>
      </w:r>
    </w:p>
    <w:p w14:paraId="20BB4C5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Chars="0" w:right="0" w:rightChars="0"/>
        <w:jc w:val="left"/>
        <w:rPr>
          <w:rFonts w:hint="eastAsia" w:ascii="黑体" w:hAnsi="黑体" w:eastAsia="黑体" w:cs="黑体"/>
          <w:b/>
          <w:bCs/>
          <w:color w:val="000000"/>
          <w:kern w:val="0"/>
          <w:sz w:val="28"/>
          <w:szCs w:val="28"/>
          <w:lang w:val="en-US" w:eastAsia="zh-CN" w:bidi="ar"/>
        </w:rPr>
      </w:pPr>
      <w:r>
        <w:rPr>
          <w:rFonts w:hint="eastAsia" w:ascii="黑体" w:hAnsi="黑体" w:eastAsia="黑体" w:cs="黑体"/>
          <w:b/>
          <w:bCs/>
          <w:color w:val="000000"/>
          <w:kern w:val="0"/>
          <w:sz w:val="28"/>
          <w:szCs w:val="28"/>
          <w:lang w:val="en-US" w:eastAsia="zh-CN" w:bidi="ar"/>
        </w:rPr>
        <w:t>四、质量保证</w:t>
      </w:r>
    </w:p>
    <w:p w14:paraId="5348C446">
      <w:pPr>
        <w:keepNext w:val="0"/>
        <w:keepLines w:val="0"/>
        <w:widowControl/>
        <w:numPr>
          <w:ilvl w:val="0"/>
          <w:numId w:val="1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正式报告应包含完整的测评证据和整改建议</w:t>
      </w:r>
    </w:p>
    <w:p w14:paraId="397E80F8">
      <w:pPr>
        <w:keepNext w:val="0"/>
        <w:keepLines w:val="0"/>
        <w:widowControl/>
        <w:numPr>
          <w:ilvl w:val="0"/>
          <w:numId w:val="1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若测评结论存在明显错误或遗漏，采购人有权要求免费重测</w:t>
      </w:r>
    </w:p>
    <w:p w14:paraId="7DE5DEAE">
      <w:pPr>
        <w:keepNext w:val="0"/>
        <w:keepLines w:val="0"/>
        <w:widowControl/>
        <w:numPr>
          <w:ilvl w:val="0"/>
          <w:numId w:val="1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rightChars="0" w:hanging="420" w:firstLineChars="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供应商提供 6 个月内的免费售后咨询（针对测评报告内容）</w:t>
      </w:r>
    </w:p>
    <w:p w14:paraId="32EECBE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Chars="0" w:right="0" w:rightChars="0"/>
        <w:jc w:val="left"/>
        <w:rPr>
          <w:rFonts w:hint="eastAsia" w:ascii="方正仿宋_GB2312" w:hAnsi="方正仿宋_GB2312" w:eastAsia="方正仿宋_GB2312" w:cs="方正仿宋_GB2312"/>
          <w:color w:val="000000"/>
          <w:kern w:val="0"/>
          <w:sz w:val="28"/>
          <w:szCs w:val="28"/>
          <w:lang w:val="en-US" w:eastAsia="zh-CN" w:bidi="ar"/>
        </w:rPr>
      </w:pPr>
    </w:p>
    <w:p w14:paraId="635A7D6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Chars="0" w:right="0" w:rightChars="0"/>
        <w:jc w:val="left"/>
        <w:rPr>
          <w:rFonts w:hint="eastAsia" w:ascii="黑体" w:hAnsi="黑体" w:eastAsia="黑体" w:cs="黑体"/>
          <w:b/>
          <w:bCs/>
          <w:color w:val="000000"/>
          <w:kern w:val="0"/>
          <w:sz w:val="28"/>
          <w:szCs w:val="28"/>
          <w:lang w:val="en-US" w:eastAsia="zh-CN" w:bidi="ar"/>
        </w:rPr>
      </w:pPr>
      <w:r>
        <w:rPr>
          <w:rFonts w:hint="eastAsia" w:ascii="黑体" w:hAnsi="黑体" w:eastAsia="黑体" w:cs="黑体"/>
          <w:b/>
          <w:bCs/>
          <w:color w:val="000000"/>
          <w:kern w:val="0"/>
          <w:sz w:val="28"/>
          <w:szCs w:val="28"/>
          <w:lang w:val="en-US" w:eastAsia="zh-CN" w:bidi="ar"/>
        </w:rPr>
        <w:t>五、违约责任</w:t>
      </w:r>
    </w:p>
    <w:p w14:paraId="6748EA1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Chars="0" w:right="0" w:rightChars="0"/>
        <w:jc w:val="lef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kern w:val="0"/>
          <w:sz w:val="28"/>
          <w:szCs w:val="28"/>
          <w:lang w:val="en-US" w:eastAsia="zh-CN" w:bidi="ar"/>
        </w:rPr>
        <w:t>测评质量严重失实（例如：明显漏洞未检出导致安全事件），供应商承担相应责任</w:t>
      </w:r>
    </w:p>
    <w:p w14:paraId="53A5FDC1">
      <w:pPr>
        <w:widowControl w:val="0"/>
        <w:numPr>
          <w:ilvl w:val="0"/>
          <w:numId w:val="0"/>
        </w:numPr>
        <w:jc w:val="both"/>
        <w:rPr>
          <w:rFonts w:hint="eastAsia" w:ascii="黑体" w:hAnsi="黑体" w:eastAsia="黑体" w:cs="黑体"/>
          <w:sz w:val="28"/>
          <w:szCs w:val="28"/>
        </w:rPr>
      </w:pPr>
      <w:r>
        <w:rPr>
          <w:rFonts w:hint="eastAsia" w:ascii="黑体" w:hAnsi="黑体" w:eastAsia="黑体" w:cs="黑体"/>
          <w:sz w:val="28"/>
          <w:szCs w:val="28"/>
        </w:rPr>
        <w:t>六、争议解决</w:t>
      </w:r>
    </w:p>
    <w:p w14:paraId="0A7D1E5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Chars="0" w:right="0" w:rightChars="0"/>
        <w:jc w:val="lef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kern w:val="0"/>
          <w:sz w:val="28"/>
          <w:szCs w:val="28"/>
          <w:lang w:val="en-US" w:eastAsia="zh-CN" w:bidi="ar"/>
        </w:rPr>
        <w:t>协商不成的，提交采购人所在地人民法院诉讼解决。</w:t>
      </w:r>
    </w:p>
    <w:p w14:paraId="3EF9D6EB">
      <w:pPr>
        <w:widowControl w:val="0"/>
        <w:numPr>
          <w:ilvl w:val="0"/>
          <w:numId w:val="0"/>
        </w:numPr>
        <w:jc w:val="both"/>
        <w:rPr>
          <w:rFonts w:hint="eastAsia" w:ascii="黑体" w:hAnsi="黑体" w:eastAsia="黑体" w:cs="黑体"/>
          <w:sz w:val="28"/>
          <w:szCs w:val="28"/>
        </w:rPr>
      </w:pPr>
    </w:p>
    <w:p w14:paraId="771B2FB8">
      <w:pPr>
        <w:widowControl w:val="0"/>
        <w:numPr>
          <w:ilvl w:val="0"/>
          <w:numId w:val="0"/>
        </w:numPr>
        <w:jc w:val="both"/>
        <w:rPr>
          <w:rFonts w:hint="eastAsia" w:ascii="黑体" w:hAnsi="黑体" w:eastAsia="黑体" w:cs="黑体"/>
          <w:sz w:val="28"/>
          <w:szCs w:val="28"/>
        </w:rPr>
      </w:pPr>
      <w:r>
        <w:rPr>
          <w:rFonts w:hint="eastAsia" w:ascii="黑体" w:hAnsi="黑体" w:eastAsia="黑体" w:cs="黑体"/>
          <w:sz w:val="28"/>
          <w:szCs w:val="28"/>
        </w:rPr>
        <w:t>第五章 响应文件格式</w:t>
      </w:r>
      <w:r>
        <w:rPr>
          <w:rFonts w:hint="eastAsia" w:ascii="黑体" w:hAnsi="黑体" w:eastAsia="黑体" w:cs="黑体"/>
          <w:b/>
          <w:bCs/>
          <w:color w:val="000000"/>
          <w:kern w:val="0"/>
          <w:sz w:val="28"/>
          <w:szCs w:val="28"/>
          <w:lang w:val="en-US" w:eastAsia="zh-CN" w:bidi="ar"/>
        </w:rPr>
        <w:t>（询价响应文件）</w:t>
      </w:r>
    </w:p>
    <w:p w14:paraId="2B4645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kern w:val="0"/>
          <w:sz w:val="28"/>
          <w:szCs w:val="28"/>
          <w:lang w:val="en-US" w:eastAsia="zh-CN" w:bidi="ar"/>
        </w:rPr>
        <w:t>供应商提交的响应文件应包含以下内容：</w:t>
      </w:r>
    </w:p>
    <w:p w14:paraId="331A0E29">
      <w:pPr>
        <w:widowControl w:val="0"/>
        <w:numPr>
          <w:ilvl w:val="0"/>
          <w:numId w:val="0"/>
        </w:numPr>
        <w:jc w:val="both"/>
        <w:rPr>
          <w:rFonts w:hint="eastAsia" w:ascii="黑体" w:hAnsi="黑体" w:eastAsia="黑体" w:cs="黑体"/>
          <w:sz w:val="28"/>
          <w:szCs w:val="28"/>
        </w:rPr>
      </w:pPr>
      <w:r>
        <w:rPr>
          <w:rFonts w:hint="eastAsia" w:ascii="黑体" w:hAnsi="黑体" w:eastAsia="黑体" w:cs="黑体"/>
          <w:sz w:val="28"/>
          <w:szCs w:val="28"/>
        </w:rPr>
        <w:t>一、资格审查文件</w:t>
      </w:r>
    </w:p>
    <w:p w14:paraId="4E53362E">
      <w:pPr>
        <w:widowControl w:val="0"/>
        <w:numPr>
          <w:ilvl w:val="0"/>
          <w:numId w:val="20"/>
        </w:numPr>
        <w:ind w:left="425" w:leftChars="0" w:hanging="425" w:firstLineChars="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询价</w:t>
      </w:r>
      <w:r>
        <w:rPr>
          <w:rFonts w:hint="eastAsia" w:ascii="仿宋_GB2312" w:hAnsi="仿宋_GB2312" w:eastAsia="仿宋_GB2312" w:cs="仿宋_GB2312"/>
          <w:sz w:val="28"/>
          <w:szCs w:val="28"/>
        </w:rPr>
        <w:t>响应函</w:t>
      </w:r>
    </w:p>
    <w:p w14:paraId="37D6441A">
      <w:pPr>
        <w:widowControl w:val="0"/>
        <w:numPr>
          <w:ilvl w:val="0"/>
          <w:numId w:val="20"/>
        </w:numPr>
        <w:ind w:left="425" w:leftChars="0" w:hanging="425" w:firstLineChars="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营业执照复印件</w:t>
      </w:r>
    </w:p>
    <w:p w14:paraId="4CE0E979">
      <w:pPr>
        <w:widowControl w:val="0"/>
        <w:numPr>
          <w:ilvl w:val="0"/>
          <w:numId w:val="20"/>
        </w:numPr>
        <w:ind w:left="425" w:leftChars="0" w:hanging="425" w:firstLineChars="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网络安全等级测评与检测评估机构服务认证证书</w:t>
      </w:r>
    </w:p>
    <w:p w14:paraId="104CD973">
      <w:pPr>
        <w:widowControl w:val="0"/>
        <w:numPr>
          <w:ilvl w:val="0"/>
          <w:numId w:val="20"/>
        </w:numPr>
        <w:ind w:left="425" w:leftChars="0" w:hanging="425" w:firstLineChars="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法定代表人授权书</w:t>
      </w:r>
    </w:p>
    <w:p w14:paraId="6C263894">
      <w:pPr>
        <w:widowControl w:val="0"/>
        <w:numPr>
          <w:ilvl w:val="0"/>
          <w:numId w:val="0"/>
        </w:numPr>
        <w:jc w:val="both"/>
        <w:rPr>
          <w:rFonts w:hint="eastAsia" w:ascii="黑体" w:hAnsi="黑体" w:eastAsia="黑体" w:cs="黑体"/>
          <w:sz w:val="28"/>
          <w:szCs w:val="28"/>
        </w:rPr>
      </w:pPr>
      <w:r>
        <w:rPr>
          <w:rFonts w:hint="eastAsia" w:ascii="黑体" w:hAnsi="黑体" w:eastAsia="黑体" w:cs="黑体"/>
          <w:sz w:val="28"/>
          <w:szCs w:val="28"/>
        </w:rPr>
        <w:t>二、报价文件</w:t>
      </w:r>
    </w:p>
    <w:p w14:paraId="53F6A52C">
      <w:pPr>
        <w:widowControl w:val="0"/>
        <w:numPr>
          <w:ilvl w:val="0"/>
          <w:numId w:val="21"/>
        </w:numPr>
        <w:ind w:left="425" w:leftChars="0" w:hanging="425" w:firstLineChars="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报价一览表（含分项明细）</w:t>
      </w:r>
    </w:p>
    <w:p w14:paraId="203C30EC">
      <w:pPr>
        <w:widowControl w:val="0"/>
        <w:numPr>
          <w:ilvl w:val="0"/>
          <w:numId w:val="21"/>
        </w:numPr>
        <w:ind w:left="425" w:leftChars="0" w:hanging="425" w:firstLineChars="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报价明细说明</w:t>
      </w:r>
    </w:p>
    <w:p w14:paraId="06574F45">
      <w:pPr>
        <w:widowControl w:val="0"/>
        <w:numPr>
          <w:ilvl w:val="0"/>
          <w:numId w:val="0"/>
        </w:numPr>
        <w:jc w:val="both"/>
        <w:rPr>
          <w:rFonts w:hint="eastAsia" w:ascii="黑体" w:hAnsi="黑体" w:eastAsia="黑体" w:cs="黑体"/>
          <w:sz w:val="28"/>
          <w:szCs w:val="28"/>
        </w:rPr>
      </w:pPr>
      <w:r>
        <w:rPr>
          <w:rFonts w:hint="eastAsia" w:ascii="黑体" w:hAnsi="黑体" w:eastAsia="黑体" w:cs="黑体"/>
          <w:sz w:val="28"/>
          <w:szCs w:val="28"/>
        </w:rPr>
        <w:t>三、技术文件</w:t>
      </w:r>
    </w:p>
    <w:p w14:paraId="62D8C2AA">
      <w:pPr>
        <w:widowControl w:val="0"/>
        <w:numPr>
          <w:ilvl w:val="0"/>
          <w:numId w:val="22"/>
        </w:numPr>
        <w:ind w:left="425" w:leftChars="0" w:hanging="425" w:firstLineChars="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项目实施方案（含与前次测评衔接说明）</w:t>
      </w:r>
    </w:p>
    <w:p w14:paraId="2226F48F">
      <w:pPr>
        <w:widowControl w:val="0"/>
        <w:numPr>
          <w:ilvl w:val="0"/>
          <w:numId w:val="22"/>
        </w:numPr>
        <w:ind w:left="425" w:leftChars="0" w:hanging="425" w:firstLineChars="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质量保障与保密措施</w:t>
      </w:r>
    </w:p>
    <w:p w14:paraId="738EF069">
      <w:pPr>
        <w:widowControl w:val="0"/>
        <w:numPr>
          <w:ilvl w:val="0"/>
          <w:numId w:val="22"/>
        </w:numPr>
        <w:ind w:left="425" w:leftChars="0" w:hanging="425" w:firstLineChars="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拟投入人员名单及资质证书</w:t>
      </w:r>
    </w:p>
    <w:p w14:paraId="28BD7454">
      <w:pPr>
        <w:widowControl w:val="0"/>
        <w:numPr>
          <w:ilvl w:val="0"/>
          <w:numId w:val="22"/>
        </w:numPr>
        <w:ind w:left="425" w:leftChars="0" w:hanging="425" w:firstLineChars="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测评设备清单及正版证明</w:t>
      </w:r>
    </w:p>
    <w:p w14:paraId="7FF33541">
      <w:pPr>
        <w:widowControl w:val="0"/>
        <w:numPr>
          <w:ilvl w:val="0"/>
          <w:numId w:val="0"/>
        </w:numPr>
        <w:jc w:val="both"/>
        <w:rPr>
          <w:rFonts w:hint="eastAsia" w:ascii="黑体" w:hAnsi="黑体" w:eastAsia="黑体" w:cs="黑体"/>
          <w:sz w:val="28"/>
          <w:szCs w:val="28"/>
        </w:rPr>
      </w:pPr>
    </w:p>
    <w:p w14:paraId="34670AA7">
      <w:pPr>
        <w:widowControl w:val="0"/>
        <w:numPr>
          <w:ilvl w:val="0"/>
          <w:numId w:val="0"/>
        </w:numPr>
        <w:jc w:val="both"/>
        <w:rPr>
          <w:rFonts w:hint="eastAsia" w:ascii="黑体" w:hAnsi="黑体" w:eastAsia="黑体" w:cs="黑体"/>
          <w:sz w:val="28"/>
          <w:szCs w:val="28"/>
        </w:rPr>
      </w:pPr>
      <w:r>
        <w:rPr>
          <w:rFonts w:hint="eastAsia" w:ascii="黑体" w:hAnsi="黑体" w:eastAsia="黑体" w:cs="黑体"/>
          <w:sz w:val="28"/>
          <w:szCs w:val="28"/>
        </w:rPr>
        <w:t>四、商务文件</w:t>
      </w:r>
    </w:p>
    <w:p w14:paraId="51702EF7">
      <w:pPr>
        <w:widowControl w:val="0"/>
        <w:numPr>
          <w:ilvl w:val="0"/>
          <w:numId w:val="23"/>
        </w:numPr>
        <w:ind w:left="425" w:leftChars="0" w:hanging="425" w:firstLineChars="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同类项目业绩（附合同复印件）</w:t>
      </w:r>
    </w:p>
    <w:p w14:paraId="345F4478">
      <w:pPr>
        <w:widowControl w:val="0"/>
        <w:numPr>
          <w:ilvl w:val="0"/>
          <w:numId w:val="23"/>
        </w:numPr>
        <w:ind w:left="425" w:leftChars="0" w:hanging="425" w:firstLineChars="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服务承诺书（必须包含：免费复核承诺、售后支持承诺）</w:t>
      </w:r>
    </w:p>
    <w:p w14:paraId="2632C1D9">
      <w:pPr>
        <w:widowControl w:val="0"/>
        <w:numPr>
          <w:ilvl w:val="0"/>
          <w:numId w:val="23"/>
        </w:numPr>
        <w:ind w:left="425" w:leftChars="0" w:hanging="425" w:firstLineChars="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供应商认为需要提供的其他材料</w:t>
      </w:r>
    </w:p>
    <w:p w14:paraId="0E9F01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方正仿宋_GB2312" w:hAnsi="方正仿宋_GB2312" w:eastAsia="方正仿宋_GB2312" w:cs="方正仿宋_GB2312"/>
          <w:color w:val="000000"/>
          <w:kern w:val="0"/>
          <w:sz w:val="28"/>
          <w:szCs w:val="28"/>
          <w:lang w:val="en-US" w:eastAsia="zh-CN" w:bidi="ar"/>
        </w:rPr>
      </w:pPr>
    </w:p>
    <w:p w14:paraId="4479D9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黑体" w:hAnsi="黑体" w:eastAsia="黑体" w:cs="黑体"/>
          <w:color w:val="000000"/>
          <w:kern w:val="0"/>
          <w:sz w:val="28"/>
          <w:szCs w:val="28"/>
          <w:lang w:val="en-US" w:eastAsia="zh-CN" w:bidi="ar"/>
        </w:rPr>
      </w:pPr>
      <w:r>
        <w:rPr>
          <w:rFonts w:hint="eastAsia" w:ascii="黑体" w:hAnsi="黑体" w:eastAsia="黑体" w:cs="黑体"/>
          <w:color w:val="000000"/>
          <w:kern w:val="0"/>
          <w:sz w:val="28"/>
          <w:szCs w:val="28"/>
          <w:lang w:val="en-US" w:eastAsia="zh-CN" w:bidi="ar"/>
        </w:rPr>
        <w:t>附：重要说明</w:t>
      </w:r>
    </w:p>
    <w:p w14:paraId="2624A2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本次采购不收取保证金。</w:t>
      </w:r>
    </w:p>
    <w:p w14:paraId="53BD92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方正仿宋_GB2312" w:hAnsi="方正仿宋_GB2312" w:eastAsia="方正仿宋_GB2312" w:cs="方正仿宋_GB2312"/>
          <w:color w:val="000000"/>
          <w:kern w:val="0"/>
          <w:sz w:val="28"/>
          <w:szCs w:val="28"/>
          <w:lang w:val="en-US" w:eastAsia="zh-CN" w:bidi="ar"/>
        </w:rPr>
      </w:pPr>
      <w:r>
        <w:rPr>
          <w:rFonts w:hint="eastAsia" w:ascii="方正仿宋_GB2312" w:hAnsi="方正仿宋_GB2312" w:eastAsia="方正仿宋_GB2312" w:cs="方正仿宋_GB2312"/>
          <w:color w:val="000000"/>
          <w:kern w:val="0"/>
          <w:sz w:val="28"/>
          <w:szCs w:val="28"/>
          <w:lang w:val="en-US" w:eastAsia="zh-CN" w:bidi="ar"/>
        </w:rPr>
        <w:t>未成交供应商不另行通知，响应文件不予退还。</w:t>
      </w:r>
    </w:p>
    <w:p w14:paraId="540835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kern w:val="0"/>
          <w:sz w:val="28"/>
          <w:szCs w:val="28"/>
          <w:lang w:val="en-US" w:eastAsia="zh-CN" w:bidi="ar"/>
        </w:rPr>
        <w:t>采购人保留在签订合同前与成交供应商就技术细节进一步澄清的权利。</w:t>
      </w:r>
    </w:p>
    <w:p w14:paraId="733D683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B7DDCB5-4831-4699-B37E-9736FF9E126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2" w:fontKey="{83656B28-91A6-47C3-8AD2-EC73190A4801}"/>
  </w:font>
  <w:font w:name="方正仿宋_GB2312">
    <w:panose1 w:val="02000000000000000000"/>
    <w:charset w:val="86"/>
    <w:family w:val="auto"/>
    <w:pitch w:val="default"/>
    <w:sig w:usb0="A00002BF" w:usb1="184F6CFA" w:usb2="00000012" w:usb3="00000000" w:csb0="00040001" w:csb1="00000000"/>
    <w:embedRegular r:id="rId3" w:fontKey="{F27D8D39-AC46-434D-9513-6762EAB1D7FA}"/>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CC61F4"/>
    <w:multiLevelType w:val="singleLevel"/>
    <w:tmpl w:val="8ECC61F4"/>
    <w:lvl w:ilvl="0" w:tentative="0">
      <w:start w:val="1"/>
      <w:numFmt w:val="bullet"/>
      <w:lvlText w:val=""/>
      <w:lvlJc w:val="left"/>
      <w:pPr>
        <w:ind w:left="420" w:hanging="420"/>
      </w:pPr>
      <w:rPr>
        <w:rFonts w:hint="default" w:ascii="Wingdings" w:hAnsi="Wingdings"/>
      </w:rPr>
    </w:lvl>
  </w:abstractNum>
  <w:abstractNum w:abstractNumId="1">
    <w:nsid w:val="8F3F15BD"/>
    <w:multiLevelType w:val="singleLevel"/>
    <w:tmpl w:val="8F3F15BD"/>
    <w:lvl w:ilvl="0" w:tentative="0">
      <w:start w:val="1"/>
      <w:numFmt w:val="bullet"/>
      <w:lvlText w:val=""/>
      <w:lvlJc w:val="left"/>
      <w:pPr>
        <w:ind w:left="420" w:hanging="420"/>
      </w:pPr>
      <w:rPr>
        <w:rFonts w:hint="default" w:ascii="Wingdings" w:hAnsi="Wingdings"/>
      </w:rPr>
    </w:lvl>
  </w:abstractNum>
  <w:abstractNum w:abstractNumId="2">
    <w:nsid w:val="A122413B"/>
    <w:multiLevelType w:val="singleLevel"/>
    <w:tmpl w:val="A122413B"/>
    <w:lvl w:ilvl="0" w:tentative="0">
      <w:start w:val="1"/>
      <w:numFmt w:val="bullet"/>
      <w:lvlText w:val=""/>
      <w:lvlJc w:val="left"/>
      <w:pPr>
        <w:ind w:left="420" w:hanging="420"/>
      </w:pPr>
      <w:rPr>
        <w:rFonts w:hint="default" w:ascii="Wingdings" w:hAnsi="Wingdings"/>
      </w:rPr>
    </w:lvl>
  </w:abstractNum>
  <w:abstractNum w:abstractNumId="3">
    <w:nsid w:val="A42383D6"/>
    <w:multiLevelType w:val="singleLevel"/>
    <w:tmpl w:val="A42383D6"/>
    <w:lvl w:ilvl="0" w:tentative="0">
      <w:start w:val="1"/>
      <w:numFmt w:val="bullet"/>
      <w:lvlText w:val=""/>
      <w:lvlJc w:val="left"/>
      <w:pPr>
        <w:ind w:left="420" w:hanging="420"/>
      </w:pPr>
      <w:rPr>
        <w:rFonts w:hint="default" w:ascii="Wingdings" w:hAnsi="Wingdings"/>
      </w:rPr>
    </w:lvl>
  </w:abstractNum>
  <w:abstractNum w:abstractNumId="4">
    <w:nsid w:val="AC4D876D"/>
    <w:multiLevelType w:val="singleLevel"/>
    <w:tmpl w:val="AC4D876D"/>
    <w:lvl w:ilvl="0" w:tentative="0">
      <w:start w:val="1"/>
      <w:numFmt w:val="bullet"/>
      <w:lvlText w:val=""/>
      <w:lvlJc w:val="left"/>
      <w:pPr>
        <w:ind w:left="420" w:hanging="420"/>
      </w:pPr>
      <w:rPr>
        <w:rFonts w:hint="default" w:ascii="Wingdings" w:hAnsi="Wingdings"/>
      </w:rPr>
    </w:lvl>
  </w:abstractNum>
  <w:abstractNum w:abstractNumId="5">
    <w:nsid w:val="B4DF9F33"/>
    <w:multiLevelType w:val="singleLevel"/>
    <w:tmpl w:val="B4DF9F33"/>
    <w:lvl w:ilvl="0" w:tentative="0">
      <w:start w:val="1"/>
      <w:numFmt w:val="bullet"/>
      <w:lvlText w:val=""/>
      <w:lvlJc w:val="left"/>
      <w:pPr>
        <w:ind w:left="420" w:hanging="420"/>
      </w:pPr>
      <w:rPr>
        <w:rFonts w:hint="default" w:ascii="Wingdings" w:hAnsi="Wingdings"/>
      </w:rPr>
    </w:lvl>
  </w:abstractNum>
  <w:abstractNum w:abstractNumId="6">
    <w:nsid w:val="DA8F6767"/>
    <w:multiLevelType w:val="singleLevel"/>
    <w:tmpl w:val="DA8F6767"/>
    <w:lvl w:ilvl="0" w:tentative="0">
      <w:start w:val="1"/>
      <w:numFmt w:val="bullet"/>
      <w:lvlText w:val=""/>
      <w:lvlJc w:val="left"/>
      <w:pPr>
        <w:ind w:left="420" w:hanging="420"/>
      </w:pPr>
      <w:rPr>
        <w:rFonts w:hint="default" w:ascii="Wingdings" w:hAnsi="Wingdings"/>
      </w:rPr>
    </w:lvl>
  </w:abstractNum>
  <w:abstractNum w:abstractNumId="7">
    <w:nsid w:val="EDC9C0C6"/>
    <w:multiLevelType w:val="singleLevel"/>
    <w:tmpl w:val="EDC9C0C6"/>
    <w:lvl w:ilvl="0" w:tentative="0">
      <w:start w:val="1"/>
      <w:numFmt w:val="decimal"/>
      <w:suff w:val="space"/>
      <w:lvlText w:val="%1."/>
      <w:lvlJc w:val="left"/>
    </w:lvl>
  </w:abstractNum>
  <w:abstractNum w:abstractNumId="8">
    <w:nsid w:val="F5E64C18"/>
    <w:multiLevelType w:val="singleLevel"/>
    <w:tmpl w:val="F5E64C18"/>
    <w:lvl w:ilvl="0" w:tentative="0">
      <w:start w:val="4"/>
      <w:numFmt w:val="chineseCounting"/>
      <w:suff w:val="nothing"/>
      <w:lvlText w:val="%1、"/>
      <w:lvlJc w:val="left"/>
      <w:rPr>
        <w:rFonts w:hint="eastAsia"/>
      </w:rPr>
    </w:lvl>
  </w:abstractNum>
  <w:abstractNum w:abstractNumId="9">
    <w:nsid w:val="01317C28"/>
    <w:multiLevelType w:val="singleLevel"/>
    <w:tmpl w:val="01317C28"/>
    <w:lvl w:ilvl="0" w:tentative="0">
      <w:start w:val="1"/>
      <w:numFmt w:val="decimal"/>
      <w:lvlText w:val="%1."/>
      <w:lvlJc w:val="left"/>
      <w:pPr>
        <w:ind w:left="425" w:hanging="425"/>
      </w:pPr>
      <w:rPr>
        <w:rFonts w:hint="default"/>
      </w:rPr>
    </w:lvl>
  </w:abstractNum>
  <w:abstractNum w:abstractNumId="10">
    <w:nsid w:val="059AC1A9"/>
    <w:multiLevelType w:val="singleLevel"/>
    <w:tmpl w:val="059AC1A9"/>
    <w:lvl w:ilvl="0" w:tentative="0">
      <w:start w:val="1"/>
      <w:numFmt w:val="chineseCounting"/>
      <w:suff w:val="nothing"/>
      <w:lvlText w:val="（%1）"/>
      <w:lvlJc w:val="left"/>
      <w:rPr>
        <w:rFonts w:hint="eastAsia"/>
      </w:rPr>
    </w:lvl>
  </w:abstractNum>
  <w:abstractNum w:abstractNumId="11">
    <w:nsid w:val="0FAF36D1"/>
    <w:multiLevelType w:val="singleLevel"/>
    <w:tmpl w:val="0FAF36D1"/>
    <w:lvl w:ilvl="0" w:tentative="0">
      <w:start w:val="1"/>
      <w:numFmt w:val="decimal"/>
      <w:lvlText w:val="%1."/>
      <w:lvlJc w:val="left"/>
      <w:pPr>
        <w:ind w:left="425" w:hanging="425"/>
      </w:pPr>
      <w:rPr>
        <w:rFonts w:hint="default"/>
      </w:rPr>
    </w:lvl>
  </w:abstractNum>
  <w:abstractNum w:abstractNumId="12">
    <w:nsid w:val="132F40E1"/>
    <w:multiLevelType w:val="singleLevel"/>
    <w:tmpl w:val="132F40E1"/>
    <w:lvl w:ilvl="0" w:tentative="0">
      <w:start w:val="1"/>
      <w:numFmt w:val="bullet"/>
      <w:lvlText w:val=""/>
      <w:lvlJc w:val="left"/>
      <w:pPr>
        <w:ind w:left="420" w:hanging="420"/>
      </w:pPr>
      <w:rPr>
        <w:rFonts w:hint="default" w:ascii="Wingdings" w:hAnsi="Wingdings"/>
      </w:rPr>
    </w:lvl>
  </w:abstractNum>
  <w:abstractNum w:abstractNumId="13">
    <w:nsid w:val="1CBED6D8"/>
    <w:multiLevelType w:val="singleLevel"/>
    <w:tmpl w:val="1CBED6D8"/>
    <w:lvl w:ilvl="0" w:tentative="0">
      <w:start w:val="3"/>
      <w:numFmt w:val="chineseCounting"/>
      <w:suff w:val="space"/>
      <w:lvlText w:val="第%1章"/>
      <w:lvlJc w:val="left"/>
      <w:rPr>
        <w:rFonts w:hint="eastAsia"/>
      </w:rPr>
    </w:lvl>
  </w:abstractNum>
  <w:abstractNum w:abstractNumId="14">
    <w:nsid w:val="32FB5740"/>
    <w:multiLevelType w:val="singleLevel"/>
    <w:tmpl w:val="32FB5740"/>
    <w:lvl w:ilvl="0" w:tentative="0">
      <w:start w:val="1"/>
      <w:numFmt w:val="chineseCounting"/>
      <w:suff w:val="nothing"/>
      <w:lvlText w:val="%1、"/>
      <w:lvlJc w:val="left"/>
      <w:rPr>
        <w:rFonts w:hint="eastAsia"/>
      </w:rPr>
    </w:lvl>
  </w:abstractNum>
  <w:abstractNum w:abstractNumId="15">
    <w:nsid w:val="35797710"/>
    <w:multiLevelType w:val="singleLevel"/>
    <w:tmpl w:val="35797710"/>
    <w:lvl w:ilvl="0" w:tentative="0">
      <w:start w:val="1"/>
      <w:numFmt w:val="bullet"/>
      <w:lvlText w:val=""/>
      <w:lvlJc w:val="left"/>
      <w:pPr>
        <w:ind w:left="420" w:hanging="420"/>
      </w:pPr>
      <w:rPr>
        <w:rFonts w:hint="default" w:ascii="Wingdings" w:hAnsi="Wingdings"/>
      </w:rPr>
    </w:lvl>
  </w:abstractNum>
  <w:abstractNum w:abstractNumId="16">
    <w:nsid w:val="43318097"/>
    <w:multiLevelType w:val="singleLevel"/>
    <w:tmpl w:val="43318097"/>
    <w:lvl w:ilvl="0" w:tentative="0">
      <w:start w:val="1"/>
      <w:numFmt w:val="decimal"/>
      <w:lvlText w:val="%1."/>
      <w:lvlJc w:val="left"/>
      <w:pPr>
        <w:ind w:left="425" w:hanging="425"/>
      </w:pPr>
      <w:rPr>
        <w:rFonts w:hint="default"/>
      </w:rPr>
    </w:lvl>
  </w:abstractNum>
  <w:abstractNum w:abstractNumId="17">
    <w:nsid w:val="4F010648"/>
    <w:multiLevelType w:val="singleLevel"/>
    <w:tmpl w:val="4F010648"/>
    <w:lvl w:ilvl="0" w:tentative="0">
      <w:start w:val="1"/>
      <w:numFmt w:val="bullet"/>
      <w:lvlText w:val=""/>
      <w:lvlJc w:val="left"/>
      <w:pPr>
        <w:ind w:left="420" w:hanging="420"/>
      </w:pPr>
      <w:rPr>
        <w:rFonts w:hint="default" w:ascii="Wingdings" w:hAnsi="Wingdings"/>
      </w:rPr>
    </w:lvl>
  </w:abstractNum>
  <w:abstractNum w:abstractNumId="18">
    <w:nsid w:val="4FCBC784"/>
    <w:multiLevelType w:val="singleLevel"/>
    <w:tmpl w:val="4FCBC784"/>
    <w:lvl w:ilvl="0" w:tentative="0">
      <w:start w:val="1"/>
      <w:numFmt w:val="bullet"/>
      <w:lvlText w:val=""/>
      <w:lvlJc w:val="left"/>
      <w:pPr>
        <w:ind w:left="420" w:hanging="420"/>
      </w:pPr>
      <w:rPr>
        <w:rFonts w:hint="default" w:ascii="Wingdings" w:hAnsi="Wingdings"/>
      </w:rPr>
    </w:lvl>
  </w:abstractNum>
  <w:abstractNum w:abstractNumId="19">
    <w:nsid w:val="518AF6E0"/>
    <w:multiLevelType w:val="singleLevel"/>
    <w:tmpl w:val="518AF6E0"/>
    <w:lvl w:ilvl="0" w:tentative="0">
      <w:start w:val="1"/>
      <w:numFmt w:val="decimal"/>
      <w:lvlText w:val="%1."/>
      <w:lvlJc w:val="left"/>
      <w:pPr>
        <w:ind w:left="425" w:hanging="425"/>
      </w:pPr>
      <w:rPr>
        <w:rFonts w:hint="default"/>
      </w:rPr>
    </w:lvl>
  </w:abstractNum>
  <w:abstractNum w:abstractNumId="20">
    <w:nsid w:val="5C8F496B"/>
    <w:multiLevelType w:val="singleLevel"/>
    <w:tmpl w:val="5C8F496B"/>
    <w:lvl w:ilvl="0" w:tentative="0">
      <w:start w:val="1"/>
      <w:numFmt w:val="bullet"/>
      <w:lvlText w:val=""/>
      <w:lvlJc w:val="left"/>
      <w:pPr>
        <w:ind w:left="420" w:hanging="420"/>
      </w:pPr>
      <w:rPr>
        <w:rFonts w:hint="default" w:ascii="Wingdings" w:hAnsi="Wingdings"/>
      </w:rPr>
    </w:lvl>
  </w:abstractNum>
  <w:abstractNum w:abstractNumId="21">
    <w:nsid w:val="63BDE278"/>
    <w:multiLevelType w:val="singleLevel"/>
    <w:tmpl w:val="63BDE278"/>
    <w:lvl w:ilvl="0" w:tentative="0">
      <w:start w:val="1"/>
      <w:numFmt w:val="bullet"/>
      <w:lvlText w:val=""/>
      <w:lvlJc w:val="left"/>
      <w:pPr>
        <w:ind w:left="420" w:hanging="420"/>
      </w:pPr>
      <w:rPr>
        <w:rFonts w:hint="default" w:ascii="Wingdings" w:hAnsi="Wingdings"/>
      </w:rPr>
    </w:lvl>
  </w:abstractNum>
  <w:abstractNum w:abstractNumId="22">
    <w:nsid w:val="6B9DFCF2"/>
    <w:multiLevelType w:val="singleLevel"/>
    <w:tmpl w:val="6B9DFCF2"/>
    <w:lvl w:ilvl="0" w:tentative="0">
      <w:start w:val="1"/>
      <w:numFmt w:val="chineseCounting"/>
      <w:suff w:val="nothing"/>
      <w:lvlText w:val="%1、"/>
      <w:lvlJc w:val="left"/>
      <w:rPr>
        <w:rFonts w:hint="eastAsia"/>
      </w:rPr>
    </w:lvl>
  </w:abstractNum>
  <w:num w:numId="1">
    <w:abstractNumId w:val="17"/>
  </w:num>
  <w:num w:numId="2">
    <w:abstractNumId w:val="1"/>
  </w:num>
  <w:num w:numId="3">
    <w:abstractNumId w:val="8"/>
  </w:num>
  <w:num w:numId="4">
    <w:abstractNumId w:val="14"/>
  </w:num>
  <w:num w:numId="5">
    <w:abstractNumId w:val="3"/>
  </w:num>
  <w:num w:numId="6">
    <w:abstractNumId w:val="10"/>
  </w:num>
  <w:num w:numId="7">
    <w:abstractNumId w:val="21"/>
  </w:num>
  <w:num w:numId="8">
    <w:abstractNumId w:val="0"/>
  </w:num>
  <w:num w:numId="9">
    <w:abstractNumId w:val="20"/>
  </w:num>
  <w:num w:numId="10">
    <w:abstractNumId w:val="2"/>
  </w:num>
  <w:num w:numId="11">
    <w:abstractNumId w:val="12"/>
  </w:num>
  <w:num w:numId="12">
    <w:abstractNumId w:val="18"/>
  </w:num>
  <w:num w:numId="13">
    <w:abstractNumId w:val="4"/>
  </w:num>
  <w:num w:numId="14">
    <w:abstractNumId w:val="6"/>
  </w:num>
  <w:num w:numId="15">
    <w:abstractNumId w:val="15"/>
  </w:num>
  <w:num w:numId="16">
    <w:abstractNumId w:val="13"/>
  </w:num>
  <w:num w:numId="17">
    <w:abstractNumId w:val="22"/>
  </w:num>
  <w:num w:numId="18">
    <w:abstractNumId w:val="7"/>
  </w:num>
  <w:num w:numId="19">
    <w:abstractNumId w:val="5"/>
  </w:num>
  <w:num w:numId="20">
    <w:abstractNumId w:val="16"/>
  </w:num>
  <w:num w:numId="21">
    <w:abstractNumId w:val="9"/>
  </w:num>
  <w:num w:numId="22">
    <w:abstractNumId w:val="11"/>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A691686"/>
    <w:rsid w:val="4EC279DD"/>
    <w:rsid w:val="52986905"/>
    <w:rsid w:val="6F5E67F3"/>
    <w:rsid w:val="70323176"/>
    <w:rsid w:val="7A546D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2329</Words>
  <Characters>2445</Characters>
  <Lines>0</Lines>
  <Paragraphs>0</Paragraphs>
  <TotalTime>21</TotalTime>
  <ScaleCrop>false</ScaleCrop>
  <LinksUpToDate>false</LinksUpToDate>
  <CharactersWithSpaces>2538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2026-05-20T06:28:00Z</dcterms:created>
  <dc:creator>Administrator</dc:creator>
  <cp:lastModifiedBy>刘涛</cp:lastModifiedBy>
  <dcterms:modified xsi:type="dcterms:W3CDTF">2026-05-20T07:46:08Z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eyJoZGlkIjoiYzQ1ZjA3ZDhmODk3ZDQ1ODBmYzAyODc1YmI0MTVjMzAiLCJ1c2VySWQiOiIxNDc5OTgxMTY4In0=</vt:lpwstr>
  </property>
  <property fmtid="{D5CDD505-2E9C-101B-9397-08002B2CF9AE}" pid="4" name="ICV">
    <vt:lpwstr>3C51A98A9B7D476FAB0BB64E8C1B6FF2_13</vt:lpwstr>
  </property>
</Properties>
</file>