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C59F85">
      <w:pPr>
        <w:ind w:left="0" w:leftChars="0" w:firstLine="632" w:firstLineChars="175"/>
        <w:jc w:val="center"/>
        <w:rPr>
          <w:rFonts w:hint="eastAsia" w:ascii="黑体" w:hAnsi="黑体" w:eastAsia="黑体" w:cs="黑体"/>
          <w:b/>
          <w:bCs/>
          <w:sz w:val="36"/>
          <w:szCs w:val="36"/>
        </w:rPr>
      </w:pPr>
      <w:r>
        <w:rPr>
          <w:rFonts w:hint="eastAsia" w:ascii="黑体" w:hAnsi="黑体" w:eastAsia="黑体" w:cs="黑体"/>
          <w:b/>
          <w:bCs/>
          <w:sz w:val="36"/>
          <w:szCs w:val="36"/>
        </w:rPr>
        <w:t>校园网网络</w:t>
      </w:r>
      <w:r>
        <w:rPr>
          <w:rFonts w:hint="eastAsia" w:ascii="黑体" w:hAnsi="黑体" w:eastAsia="黑体" w:cs="黑体"/>
          <w:b/>
          <w:bCs/>
          <w:sz w:val="36"/>
          <w:szCs w:val="36"/>
          <w:lang w:val="en-US" w:eastAsia="zh-CN"/>
        </w:rPr>
        <w:t>安全</w:t>
      </w:r>
      <w:r>
        <w:rPr>
          <w:rFonts w:hint="eastAsia" w:ascii="黑体" w:hAnsi="黑体" w:eastAsia="黑体" w:cs="黑体"/>
          <w:b/>
          <w:bCs/>
          <w:sz w:val="36"/>
          <w:szCs w:val="36"/>
        </w:rPr>
        <w:t>运维服务竞争性磋商文件</w:t>
      </w:r>
    </w:p>
    <w:p w14:paraId="4C25F0FB">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bCs/>
          <w:color w:val="000000"/>
          <w:sz w:val="24"/>
          <w:szCs w:val="24"/>
        </w:rPr>
        <w:t>项目名称</w:t>
      </w:r>
      <w:r>
        <w:rPr>
          <w:rFonts w:hint="eastAsia" w:ascii="仿宋_GB2312" w:hAnsi="仿宋_GB2312" w:eastAsia="仿宋_GB2312" w:cs="仿宋_GB2312"/>
          <w:b w:val="0"/>
          <w:bCs w:val="0"/>
          <w:color w:val="000000"/>
          <w:sz w:val="24"/>
          <w:szCs w:val="24"/>
        </w:rPr>
        <w:t>： 校园网网络安全运维服务采购项目</w:t>
      </w:r>
    </w:p>
    <w:p w14:paraId="202024DD">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bCs/>
          <w:color w:val="000000"/>
          <w:sz w:val="24"/>
          <w:szCs w:val="24"/>
        </w:rPr>
        <w:t>采购方式</w:t>
      </w:r>
      <w:r>
        <w:rPr>
          <w:rFonts w:hint="eastAsia" w:ascii="仿宋_GB2312" w:hAnsi="仿宋_GB2312" w:eastAsia="仿宋_GB2312" w:cs="仿宋_GB2312"/>
          <w:b w:val="0"/>
          <w:bCs w:val="0"/>
          <w:color w:val="000000"/>
          <w:sz w:val="24"/>
          <w:szCs w:val="24"/>
        </w:rPr>
        <w:t>： 竞争性磋商</w:t>
      </w:r>
    </w:p>
    <w:p w14:paraId="0B8058BE">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bCs/>
          <w:color w:val="000000"/>
          <w:sz w:val="24"/>
          <w:szCs w:val="24"/>
        </w:rPr>
        <w:t>采购有效期</w:t>
      </w:r>
      <w:r>
        <w:rPr>
          <w:rFonts w:hint="eastAsia" w:ascii="仿宋_GB2312" w:hAnsi="仿宋_GB2312" w:eastAsia="仿宋_GB2312" w:cs="仿宋_GB2312"/>
          <w:b w:val="0"/>
          <w:bCs w:val="0"/>
          <w:color w:val="000000"/>
          <w:sz w:val="24"/>
          <w:szCs w:val="24"/>
        </w:rPr>
        <w:t>： 三年（采用1+1+1模式）</w:t>
      </w:r>
    </w:p>
    <w:p w14:paraId="6296BDDB">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bCs/>
          <w:color w:val="000000"/>
          <w:sz w:val="24"/>
          <w:szCs w:val="24"/>
        </w:rPr>
        <w:t>合同签订方式</w:t>
      </w:r>
      <w:r>
        <w:rPr>
          <w:rFonts w:hint="eastAsia" w:ascii="仿宋_GB2312" w:hAnsi="仿宋_GB2312" w:eastAsia="仿宋_GB2312" w:cs="仿宋_GB2312"/>
          <w:b w:val="0"/>
          <w:bCs w:val="0"/>
          <w:color w:val="000000"/>
          <w:sz w:val="24"/>
          <w:szCs w:val="24"/>
        </w:rPr>
        <w:t>： 一年一签，年度考核合格后续签</w:t>
      </w:r>
    </w:p>
    <w:p w14:paraId="6C0C2206">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default" w:ascii="仿宋_GB2312" w:hAnsi="仿宋_GB2312" w:eastAsia="仿宋_GB2312" w:cs="仿宋_GB2312"/>
          <w:b w:val="0"/>
          <w:bCs w:val="0"/>
          <w:color w:val="000000"/>
          <w:sz w:val="24"/>
          <w:szCs w:val="24"/>
          <w:lang w:val="en-US" w:eastAsia="zh-CN"/>
        </w:rPr>
      </w:pPr>
      <w:r>
        <w:rPr>
          <w:rFonts w:hint="eastAsia" w:ascii="仿宋_GB2312" w:hAnsi="仿宋_GB2312" w:eastAsia="仿宋_GB2312" w:cs="仿宋_GB2312"/>
          <w:b/>
          <w:bCs/>
          <w:color w:val="000000"/>
          <w:sz w:val="24"/>
          <w:szCs w:val="24"/>
        </w:rPr>
        <w:t>采购人</w:t>
      </w:r>
      <w:r>
        <w:rPr>
          <w:rFonts w:hint="eastAsia" w:ascii="仿宋_GB2312" w:hAnsi="仿宋_GB2312" w:eastAsia="仿宋_GB2312" w:cs="仿宋_GB2312"/>
          <w:b w:val="0"/>
          <w:bCs w:val="0"/>
          <w:color w:val="000000"/>
          <w:sz w:val="24"/>
          <w:szCs w:val="24"/>
        </w:rPr>
        <w:t xml:space="preserve">： </w:t>
      </w:r>
      <w:r>
        <w:rPr>
          <w:rFonts w:hint="eastAsia" w:ascii="仿宋_GB2312" w:hAnsi="仿宋_GB2312" w:eastAsia="仿宋_GB2312" w:cs="仿宋_GB2312"/>
          <w:b w:val="0"/>
          <w:bCs w:val="0"/>
          <w:color w:val="000000"/>
          <w:sz w:val="24"/>
          <w:szCs w:val="24"/>
          <w:lang w:val="en-US" w:eastAsia="zh-CN"/>
        </w:rPr>
        <w:t>芜湖开放大学</w:t>
      </w:r>
    </w:p>
    <w:p w14:paraId="6FBC4F5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 xml:space="preserve">日 期： </w:t>
      </w:r>
      <w:r>
        <w:rPr>
          <w:rFonts w:hint="eastAsia" w:ascii="仿宋_GB2312" w:hAnsi="仿宋_GB2312" w:eastAsia="仿宋_GB2312" w:cs="仿宋_GB2312"/>
          <w:b w:val="0"/>
          <w:bCs w:val="0"/>
          <w:color w:val="000000"/>
          <w:sz w:val="24"/>
          <w:szCs w:val="24"/>
          <w:highlight w:val="none"/>
        </w:rPr>
        <w:t>2026年5月</w:t>
      </w:r>
    </w:p>
    <w:p w14:paraId="09138BD1">
      <w:pPr>
        <w:spacing w:line="360" w:lineRule="auto"/>
        <w:ind w:left="0" w:leftChars="0" w:firstLine="492" w:firstLineChars="175"/>
        <w:jc w:val="left"/>
        <w:rPr>
          <w:rFonts w:hint="eastAsia" w:ascii="仿宋_GB2312" w:hAnsi="仿宋_GB2312" w:eastAsia="仿宋_GB2312" w:cs="仿宋_GB2312"/>
          <w:color w:val="auto"/>
          <w:sz w:val="24"/>
          <w:szCs w:val="24"/>
          <w:highlight w:val="none"/>
          <w:lang w:val="en-US" w:eastAsia="zh-CN"/>
        </w:rPr>
      </w:pPr>
      <w:r>
        <w:rPr>
          <w:rFonts w:hint="eastAsia" w:ascii="黑体" w:hAnsi="黑体" w:eastAsia="黑体" w:cs="黑体"/>
          <w:b/>
          <w:bCs/>
          <w:color w:val="000000"/>
          <w:sz w:val="28"/>
          <w:szCs w:val="28"/>
        </w:rPr>
        <w:t>第一章 磋商邀请</w:t>
      </w:r>
    </w:p>
    <w:p w14:paraId="77DE92BB">
      <w:pPr>
        <w:spacing w:line="360" w:lineRule="auto"/>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芜湖开放大学</w:t>
      </w:r>
      <w:r>
        <w:rPr>
          <w:rFonts w:hint="eastAsia" w:ascii="仿宋_GB2312" w:hAnsi="仿宋_GB2312" w:eastAsia="仿宋_GB2312" w:cs="仿宋_GB2312"/>
          <w:color w:val="auto"/>
          <w:sz w:val="24"/>
          <w:szCs w:val="24"/>
          <w:highlight w:val="none"/>
        </w:rPr>
        <w:t>就“校园网网络安全运维服务采购项目”进行竞争性磋商采购，欢迎符合资格条件的供应商参与磋商。</w:t>
      </w:r>
    </w:p>
    <w:p w14:paraId="58F049CA">
      <w:pPr>
        <w:spacing w:line="360" w:lineRule="auto"/>
        <w:ind w:left="0" w:leftChars="0" w:firstLine="492" w:firstLineChars="175"/>
        <w:jc w:val="lef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一、项目基本情况</w:t>
      </w:r>
    </w:p>
    <w:p w14:paraId="2B262F57">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项目名称</w:t>
      </w:r>
      <w:r>
        <w:rPr>
          <w:rFonts w:hint="eastAsia" w:ascii="仿宋_GB2312" w:hAnsi="仿宋_GB2312" w:eastAsia="仿宋_GB2312" w:cs="仿宋_GB2312"/>
          <w:color w:val="auto"/>
          <w:sz w:val="24"/>
          <w:szCs w:val="24"/>
          <w:highlight w:val="none"/>
        </w:rPr>
        <w:t>： 校园网网络安全运维服务采购项目</w:t>
      </w:r>
    </w:p>
    <w:p w14:paraId="43D83A2B">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采购方式</w:t>
      </w:r>
      <w:r>
        <w:rPr>
          <w:rFonts w:hint="eastAsia" w:ascii="仿宋_GB2312" w:hAnsi="仿宋_GB2312" w:eastAsia="仿宋_GB2312" w:cs="仿宋_GB2312"/>
          <w:color w:val="auto"/>
          <w:sz w:val="24"/>
          <w:szCs w:val="24"/>
          <w:highlight w:val="none"/>
        </w:rPr>
        <w:t>： 竞争性磋商</w:t>
      </w:r>
    </w:p>
    <w:p w14:paraId="76B74401">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预算金额</w:t>
      </w:r>
      <w:r>
        <w:rPr>
          <w:rFonts w:hint="eastAsia" w:ascii="仿宋_GB2312" w:hAnsi="仿宋_GB2312" w:eastAsia="仿宋_GB2312" w:cs="仿宋_GB2312"/>
          <w:color w:val="auto"/>
          <w:sz w:val="24"/>
          <w:szCs w:val="24"/>
          <w:highlight w:val="none"/>
        </w:rPr>
        <w:t>： 人民币 5万元/年</w:t>
      </w:r>
    </w:p>
    <w:p w14:paraId="11436695">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最高限价</w:t>
      </w:r>
      <w:r>
        <w:rPr>
          <w:rFonts w:hint="eastAsia" w:ascii="仿宋_GB2312" w:hAnsi="仿宋_GB2312" w:eastAsia="仿宋_GB2312" w:cs="仿宋_GB2312"/>
          <w:color w:val="auto"/>
          <w:sz w:val="24"/>
          <w:szCs w:val="24"/>
          <w:highlight w:val="none"/>
        </w:rPr>
        <w:t>： 人民币 5万元/年</w:t>
      </w:r>
    </w:p>
    <w:p w14:paraId="622F96B5">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采购需求</w:t>
      </w:r>
      <w:r>
        <w:rPr>
          <w:rFonts w:hint="eastAsia" w:ascii="仿宋_GB2312" w:hAnsi="仿宋_GB2312" w:eastAsia="仿宋_GB2312" w:cs="仿宋_GB2312"/>
          <w:color w:val="auto"/>
          <w:sz w:val="24"/>
          <w:szCs w:val="24"/>
          <w:highlight w:val="none"/>
        </w:rPr>
        <w:t>：</w:t>
      </w:r>
    </w:p>
    <w:p w14:paraId="2C9B0C90">
      <w:pPr>
        <w:numPr>
          <w:ilvl w:val="0"/>
          <w:numId w:val="0"/>
        </w:numPr>
        <w:spacing w:line="360" w:lineRule="auto"/>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为校园网提供网络安全运维服务，包括但不限于制度体系建设、网络巡检、安全巡检、资产梳理、应急响应、重要时期安全保障、安全检查、安全培训、信息化规划建设支撑等。具体要求详见第三章《采购需求》。</w:t>
      </w:r>
    </w:p>
    <w:p w14:paraId="3E53BB2C">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服务期限</w:t>
      </w:r>
      <w:r>
        <w:rPr>
          <w:rFonts w:hint="eastAsia" w:ascii="仿宋_GB2312" w:hAnsi="仿宋_GB2312" w:eastAsia="仿宋_GB2312" w:cs="仿宋_GB2312"/>
          <w:color w:val="auto"/>
          <w:sz w:val="24"/>
          <w:szCs w:val="24"/>
          <w:highlight w:val="none"/>
        </w:rPr>
        <w:t>：</w:t>
      </w:r>
    </w:p>
    <w:p w14:paraId="224DA577">
      <w:pPr>
        <w:numPr>
          <w:ilvl w:val="0"/>
          <w:numId w:val="0"/>
        </w:numPr>
        <w:spacing w:line="360" w:lineRule="auto"/>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采购有效期三年，合同采用1+1+1模式，首次合同期限一年，年度考核合格后可续签，最多续签两次。</w:t>
      </w:r>
    </w:p>
    <w:p w14:paraId="3462A3B7">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本项目不接受联合体</w:t>
      </w:r>
      <w:r>
        <w:rPr>
          <w:rFonts w:hint="eastAsia" w:ascii="仿宋_GB2312" w:hAnsi="仿宋_GB2312" w:eastAsia="仿宋_GB2312" w:cs="仿宋_GB2312"/>
          <w:color w:val="auto"/>
          <w:sz w:val="24"/>
          <w:szCs w:val="24"/>
          <w:highlight w:val="none"/>
        </w:rPr>
        <w:t>。</w:t>
      </w:r>
    </w:p>
    <w:p w14:paraId="6A99F13B">
      <w:pPr>
        <w:spacing w:line="360" w:lineRule="auto"/>
        <w:ind w:left="0" w:leftChars="0" w:firstLine="492" w:firstLineChars="175"/>
        <w:jc w:val="left"/>
        <w:rPr>
          <w:rFonts w:hint="eastAsia" w:ascii="黑体" w:hAnsi="黑体" w:eastAsia="黑体" w:cs="黑体"/>
          <w:b/>
          <w:bCs/>
          <w:color w:val="auto"/>
          <w:sz w:val="28"/>
          <w:szCs w:val="28"/>
          <w:highlight w:val="none"/>
          <w:lang w:eastAsia="zh-CN"/>
        </w:rPr>
      </w:pPr>
      <w:r>
        <w:rPr>
          <w:rFonts w:hint="eastAsia" w:ascii="黑体" w:hAnsi="黑体" w:eastAsia="黑体" w:cs="黑体"/>
          <w:b/>
          <w:bCs/>
          <w:color w:val="auto"/>
          <w:sz w:val="28"/>
          <w:szCs w:val="28"/>
          <w:highlight w:val="none"/>
          <w:lang w:eastAsia="zh-CN"/>
        </w:rPr>
        <w:t>二、供应商资格要求</w:t>
      </w:r>
    </w:p>
    <w:p w14:paraId="08A0B89F">
      <w:pPr>
        <w:numPr>
          <w:ilvl w:val="0"/>
          <w:numId w:val="2"/>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满足《中华人民共和国政府采购法》第二十二条规定。</w:t>
      </w:r>
    </w:p>
    <w:p w14:paraId="58BC067E">
      <w:pPr>
        <w:numPr>
          <w:ilvl w:val="0"/>
          <w:numId w:val="2"/>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落实政府采购政策需满足的资格要求：无。</w:t>
      </w:r>
    </w:p>
    <w:p w14:paraId="0B855512">
      <w:pPr>
        <w:numPr>
          <w:ilvl w:val="0"/>
          <w:numId w:val="2"/>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本项目的特定资格要求：无。</w:t>
      </w:r>
    </w:p>
    <w:p w14:paraId="609A357A">
      <w:pPr>
        <w:numPr>
          <w:ilvl w:val="0"/>
          <w:numId w:val="2"/>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单位负责人为同一人或者存在直接控股、管理关系的不同供应商，不得同时参加本项目。</w:t>
      </w:r>
    </w:p>
    <w:p w14:paraId="74DE6E06">
      <w:pPr>
        <w:spacing w:line="360" w:lineRule="auto"/>
        <w:ind w:left="0" w:leftChars="0" w:firstLine="492" w:firstLineChars="175"/>
        <w:jc w:val="left"/>
        <w:rPr>
          <w:rFonts w:hint="eastAsia" w:ascii="黑体" w:hAnsi="黑体" w:eastAsia="黑体" w:cs="黑体"/>
          <w:b/>
          <w:bCs/>
          <w:color w:val="auto"/>
          <w:sz w:val="28"/>
          <w:szCs w:val="28"/>
          <w:highlight w:val="none"/>
          <w:lang w:eastAsia="zh-CN"/>
        </w:rPr>
      </w:pPr>
      <w:r>
        <w:rPr>
          <w:rFonts w:hint="eastAsia" w:ascii="黑体" w:hAnsi="黑体" w:eastAsia="黑体" w:cs="黑体"/>
          <w:b/>
          <w:bCs/>
          <w:color w:val="auto"/>
          <w:sz w:val="28"/>
          <w:szCs w:val="28"/>
          <w:highlight w:val="none"/>
          <w:lang w:eastAsia="zh-CN"/>
        </w:rPr>
        <w:t>三、获取采购文件</w:t>
      </w:r>
    </w:p>
    <w:p w14:paraId="090CE89B">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时间：2026年5月</w:t>
      </w:r>
      <w:r>
        <w:rPr>
          <w:rFonts w:hint="eastAsia" w:ascii="仿宋_GB2312" w:hAnsi="仿宋_GB2312" w:eastAsia="仿宋_GB2312" w:cs="仿宋_GB2312"/>
          <w:color w:val="auto"/>
          <w:sz w:val="24"/>
          <w:szCs w:val="24"/>
          <w:highlight w:val="none"/>
          <w:lang w:val="en-US" w:eastAsia="zh-CN"/>
        </w:rPr>
        <w:t>27</w:t>
      </w:r>
      <w:r>
        <w:rPr>
          <w:rFonts w:hint="eastAsia" w:ascii="仿宋_GB2312" w:hAnsi="仿宋_GB2312" w:eastAsia="仿宋_GB2312" w:cs="仿宋_GB2312"/>
          <w:color w:val="auto"/>
          <w:sz w:val="24"/>
          <w:szCs w:val="24"/>
          <w:highlight w:val="none"/>
          <w:lang w:eastAsia="zh-CN"/>
        </w:rPr>
        <w:t>日至2026年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日</w:t>
      </w:r>
    </w:p>
    <w:p w14:paraId="70381558">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方式：本公告附件自行下载</w:t>
      </w:r>
    </w:p>
    <w:p w14:paraId="064B0175">
      <w:pPr>
        <w:widowControl w:val="0"/>
        <w:numPr>
          <w:ilvl w:val="0"/>
          <w:numId w:val="0"/>
        </w:numPr>
        <w:spacing w:line="360" w:lineRule="auto"/>
        <w:ind w:left="0" w:leftChars="0" w:firstLine="422" w:firstLineChars="175"/>
        <w:jc w:val="left"/>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color w:val="auto"/>
          <w:sz w:val="24"/>
          <w:szCs w:val="24"/>
          <w:highlight w:val="none"/>
          <w:lang w:eastAsia="zh-CN"/>
        </w:rPr>
        <w:t>四、响应文件提交</w:t>
      </w:r>
    </w:p>
    <w:p w14:paraId="5C521F30">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截止时间：2026年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8</w:t>
      </w:r>
      <w:r>
        <w:rPr>
          <w:rFonts w:hint="eastAsia" w:ascii="仿宋_GB2312" w:hAnsi="仿宋_GB2312" w:eastAsia="仿宋_GB2312" w:cs="仿宋_GB2312"/>
          <w:color w:val="auto"/>
          <w:sz w:val="24"/>
          <w:szCs w:val="24"/>
          <w:highlight w:val="none"/>
          <w:lang w:eastAsia="zh-CN"/>
        </w:rPr>
        <w:t>日 1</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:00（北京时间）</w:t>
      </w:r>
    </w:p>
    <w:p w14:paraId="6465E772">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联系人：刘涛</w:t>
      </w:r>
    </w:p>
    <w:p w14:paraId="02780BC1">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联系方式：15055338051</w:t>
      </w:r>
    </w:p>
    <w:p w14:paraId="5CA9584A">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ascii="方正仿宋_GB2312" w:hAnsi="方正仿宋_GB2312" w:eastAsia="方正仿宋_GB2312" w:cs="方正仿宋_GB2312"/>
          <w:i w:val="0"/>
          <w:iCs w:val="0"/>
          <w:caps w:val="0"/>
          <w:color w:val="auto"/>
          <w:spacing w:val="0"/>
          <w:sz w:val="24"/>
          <w:szCs w:val="24"/>
          <w:highlight w:val="none"/>
          <w:shd w:val="clear" w:fill="FFFFFF"/>
        </w:rPr>
        <w:t>响应文件提交方式：</w:t>
      </w:r>
      <w:r>
        <w:rPr>
          <w:rFonts w:hint="eastAsia" w:ascii="仿宋" w:hAnsi="仿宋" w:eastAsia="仿宋" w:cs="仿宋"/>
          <w:snapToGrid w:val="0"/>
          <w:kern w:val="0"/>
          <w:sz w:val="24"/>
          <w:szCs w:val="24"/>
        </w:rPr>
        <w:t>纸质投标文件</w:t>
      </w:r>
      <w:r>
        <w:rPr>
          <w:rFonts w:hint="eastAsia" w:ascii="仿宋" w:hAnsi="仿宋" w:eastAsia="仿宋" w:cs="仿宋"/>
          <w:snapToGrid w:val="0"/>
          <w:kern w:val="0"/>
          <w:sz w:val="24"/>
          <w:szCs w:val="24"/>
          <w:lang w:eastAsia="zh-CN"/>
        </w:rPr>
        <w:t>，</w:t>
      </w:r>
      <w:r>
        <w:rPr>
          <w:rFonts w:hint="eastAsia" w:ascii="仿宋" w:hAnsi="仿宋" w:eastAsia="仿宋" w:cs="仿宋"/>
          <w:snapToGrid w:val="0"/>
          <w:kern w:val="0"/>
          <w:sz w:val="24"/>
          <w:szCs w:val="24"/>
        </w:rPr>
        <w:t>正本壹份，副本贰份</w:t>
      </w:r>
      <w:r>
        <w:rPr>
          <w:rFonts w:ascii="方正仿宋_GB2312" w:hAnsi="方正仿宋_GB2312" w:eastAsia="方正仿宋_GB2312" w:cs="方正仿宋_GB2312"/>
          <w:i w:val="0"/>
          <w:iCs w:val="0"/>
          <w:caps w:val="0"/>
          <w:color w:val="auto"/>
          <w:spacing w:val="0"/>
          <w:sz w:val="24"/>
          <w:szCs w:val="24"/>
          <w:highlight w:val="none"/>
          <w:shd w:val="clear" w:fill="FFFFFF"/>
        </w:rPr>
        <w:t>，可邮寄</w:t>
      </w:r>
      <w:r>
        <w:rPr>
          <w:rFonts w:hint="eastAsia" w:ascii="方正仿宋_GB2312" w:hAnsi="方正仿宋_GB2312" w:eastAsia="方正仿宋_GB2312" w:cs="方正仿宋_GB2312"/>
          <w:i w:val="0"/>
          <w:iCs w:val="0"/>
          <w:caps w:val="0"/>
          <w:color w:val="auto"/>
          <w:spacing w:val="0"/>
          <w:sz w:val="24"/>
          <w:szCs w:val="24"/>
          <w:highlight w:val="none"/>
          <w:shd w:val="clear" w:fill="FFFFFF"/>
          <w:lang w:eastAsia="zh-CN"/>
        </w:rPr>
        <w:t>。</w:t>
      </w:r>
    </w:p>
    <w:p w14:paraId="5F2FA710">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地点：</w:t>
      </w:r>
      <w:r>
        <w:rPr>
          <w:rFonts w:hint="eastAsia" w:ascii="方正仿宋_GB2312" w:hAnsi="方正仿宋_GB2312" w:eastAsia="方正仿宋_GB2312" w:cs="方正仿宋_GB2312"/>
          <w:color w:val="auto"/>
          <w:kern w:val="0"/>
          <w:sz w:val="28"/>
          <w:szCs w:val="28"/>
          <w:highlight w:val="none"/>
          <w:lang w:val="en-US" w:eastAsia="zh-CN" w:bidi="ar"/>
        </w:rPr>
        <w:t>安徽省芜湖市镜湖区环城西路10-3号芜湖开放大学远教楼八楼综合处1</w:t>
      </w:r>
    </w:p>
    <w:p w14:paraId="67B9BB07">
      <w:pPr>
        <w:widowControl w:val="0"/>
        <w:numPr>
          <w:ilvl w:val="0"/>
          <w:numId w:val="0"/>
        </w:numPr>
        <w:spacing w:line="360" w:lineRule="auto"/>
        <w:ind w:left="0" w:leftChars="0" w:firstLine="422" w:firstLineChars="175"/>
        <w:jc w:val="left"/>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color w:val="auto"/>
          <w:sz w:val="24"/>
          <w:szCs w:val="24"/>
          <w:highlight w:val="none"/>
          <w:lang w:eastAsia="zh-CN"/>
        </w:rPr>
        <w:t>五、开启</w:t>
      </w:r>
    </w:p>
    <w:p w14:paraId="56153EFF">
      <w:pPr>
        <w:widowControl w:val="0"/>
        <w:numPr>
          <w:ilvl w:val="0"/>
          <w:numId w:val="0"/>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时间：2026年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8</w:t>
      </w:r>
      <w:bookmarkStart w:id="0" w:name="_GoBack"/>
      <w:bookmarkEnd w:id="0"/>
      <w:r>
        <w:rPr>
          <w:rFonts w:hint="eastAsia" w:ascii="仿宋_GB2312" w:hAnsi="仿宋_GB2312" w:eastAsia="仿宋_GB2312" w:cs="仿宋_GB2312"/>
          <w:color w:val="auto"/>
          <w:sz w:val="24"/>
          <w:szCs w:val="24"/>
          <w:highlight w:val="none"/>
          <w:lang w:eastAsia="zh-CN"/>
        </w:rPr>
        <w:t>日 1</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:00（北京时间）</w:t>
      </w:r>
    </w:p>
    <w:p w14:paraId="1FA34F29">
      <w:pPr>
        <w:widowControl w:val="0"/>
        <w:numPr>
          <w:ilvl w:val="0"/>
          <w:numId w:val="0"/>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地点：</w:t>
      </w:r>
      <w:r>
        <w:rPr>
          <w:rFonts w:hint="eastAsia" w:ascii="方正仿宋_GB2312" w:hAnsi="方正仿宋_GB2312" w:eastAsia="方正仿宋_GB2312" w:cs="方正仿宋_GB2312"/>
          <w:color w:val="auto"/>
          <w:kern w:val="0"/>
          <w:sz w:val="28"/>
          <w:szCs w:val="28"/>
          <w:highlight w:val="none"/>
          <w:lang w:val="en-US" w:eastAsia="zh-CN" w:bidi="ar"/>
        </w:rPr>
        <w:t>芜湖开放大学远教楼九楼小会议室1</w:t>
      </w:r>
    </w:p>
    <w:p w14:paraId="6B2526A1">
      <w:pPr>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lang w:eastAsia="zh-CN"/>
        </w:rPr>
        <w:br w:type="page"/>
      </w:r>
    </w:p>
    <w:p w14:paraId="2A6D955A">
      <w:pPr>
        <w:widowControl w:val="0"/>
        <w:numPr>
          <w:ilvl w:val="0"/>
          <w:numId w:val="0"/>
        </w:numPr>
        <w:spacing w:line="360" w:lineRule="auto"/>
        <w:ind w:left="0" w:leftChars="0" w:firstLine="420" w:firstLineChars="175"/>
        <w:jc w:val="left"/>
        <w:rPr>
          <w:rFonts w:hint="eastAsia" w:ascii="仿宋_GB2312" w:hAnsi="仿宋_GB2312" w:eastAsia="仿宋_GB2312" w:cs="仿宋_GB2312"/>
          <w:color w:val="000000"/>
          <w:sz w:val="24"/>
          <w:szCs w:val="24"/>
          <w:highlight w:val="none"/>
          <w:lang w:eastAsia="zh-CN"/>
        </w:rPr>
      </w:pPr>
    </w:p>
    <w:p w14:paraId="6711EF19">
      <w:pPr>
        <w:spacing w:line="360" w:lineRule="auto"/>
        <w:ind w:left="0" w:leftChars="0" w:firstLine="492" w:firstLineChars="175"/>
        <w:jc w:val="left"/>
        <w:rPr>
          <w:rFonts w:hint="eastAsia" w:ascii="黑体" w:hAnsi="黑体" w:eastAsia="黑体" w:cs="黑体"/>
          <w:b/>
          <w:bCs/>
          <w:color w:val="000000"/>
          <w:sz w:val="28"/>
          <w:szCs w:val="28"/>
          <w:lang w:eastAsia="zh-CN"/>
        </w:rPr>
      </w:pPr>
      <w:r>
        <w:rPr>
          <w:rFonts w:hint="eastAsia" w:ascii="黑体" w:hAnsi="黑体" w:eastAsia="黑体" w:cs="黑体"/>
          <w:b/>
          <w:bCs/>
          <w:color w:val="000000"/>
          <w:sz w:val="28"/>
          <w:szCs w:val="28"/>
          <w:lang w:eastAsia="zh-CN"/>
        </w:rPr>
        <w:t>第二章 供应商须知</w:t>
      </w:r>
    </w:p>
    <w:p w14:paraId="31B0BC5D">
      <w:pPr>
        <w:spacing w:line="360" w:lineRule="auto"/>
        <w:ind w:left="0" w:leftChars="0" w:firstLine="422" w:firstLineChars="175"/>
        <w:jc w:val="left"/>
        <w:rPr>
          <w:rFonts w:hint="eastAsia" w:ascii="仿宋_GB2312" w:hAnsi="仿宋_GB2312" w:eastAsia="仿宋_GB2312" w:cs="仿宋_GB2312"/>
          <w:b/>
          <w:bCs/>
          <w:color w:val="000000"/>
          <w:sz w:val="24"/>
          <w:szCs w:val="24"/>
          <w:lang w:eastAsia="zh-CN"/>
        </w:rPr>
      </w:pPr>
      <w:r>
        <w:rPr>
          <w:rFonts w:hint="eastAsia" w:ascii="仿宋_GB2312" w:hAnsi="仿宋_GB2312" w:eastAsia="仿宋_GB2312" w:cs="仿宋_GB2312"/>
          <w:b/>
          <w:bCs/>
          <w:color w:val="000000"/>
          <w:sz w:val="24"/>
          <w:szCs w:val="24"/>
          <w:lang w:val="en-US" w:eastAsia="zh-CN"/>
        </w:rPr>
        <w:t>一、</w:t>
      </w:r>
      <w:r>
        <w:rPr>
          <w:rFonts w:hint="eastAsia" w:ascii="仿宋_GB2312" w:hAnsi="仿宋_GB2312" w:eastAsia="仿宋_GB2312" w:cs="仿宋_GB2312"/>
          <w:b/>
          <w:bCs/>
          <w:color w:val="000000"/>
          <w:sz w:val="24"/>
          <w:szCs w:val="24"/>
          <w:lang w:eastAsia="zh-CN"/>
        </w:rPr>
        <w:t xml:space="preserve"> 服务期限与合同续签机制</w:t>
      </w:r>
    </w:p>
    <w:p w14:paraId="085CA1FA">
      <w:p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1.</w:t>
      </w:r>
      <w:r>
        <w:rPr>
          <w:rFonts w:hint="eastAsia" w:ascii="仿宋_GB2312" w:hAnsi="仿宋_GB2312" w:eastAsia="仿宋_GB2312" w:cs="仿宋_GB2312"/>
          <w:b/>
          <w:bCs/>
          <w:color w:val="000000"/>
          <w:sz w:val="24"/>
          <w:szCs w:val="24"/>
          <w:lang w:eastAsia="zh-CN"/>
        </w:rPr>
        <w:t>采购有效期</w:t>
      </w:r>
      <w:r>
        <w:rPr>
          <w:rFonts w:hint="eastAsia" w:ascii="仿宋_GB2312" w:hAnsi="仿宋_GB2312" w:eastAsia="仿宋_GB2312" w:cs="仿宋_GB2312"/>
          <w:color w:val="000000"/>
          <w:sz w:val="24"/>
          <w:szCs w:val="24"/>
          <w:lang w:eastAsia="zh-CN"/>
        </w:rPr>
        <w:t>：本项目采购结果有效期为三年。</w:t>
      </w:r>
    </w:p>
    <w:p w14:paraId="581CA7E1">
      <w:p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2.</w:t>
      </w:r>
      <w:r>
        <w:rPr>
          <w:rFonts w:hint="eastAsia" w:ascii="仿宋_GB2312" w:hAnsi="仿宋_GB2312" w:eastAsia="仿宋_GB2312" w:cs="仿宋_GB2312"/>
          <w:b/>
          <w:bCs/>
          <w:color w:val="000000"/>
          <w:sz w:val="24"/>
          <w:szCs w:val="24"/>
          <w:lang w:eastAsia="zh-CN"/>
        </w:rPr>
        <w:t>合同签订方式</w:t>
      </w:r>
      <w:r>
        <w:rPr>
          <w:rFonts w:hint="eastAsia" w:ascii="仿宋_GB2312" w:hAnsi="仿宋_GB2312" w:eastAsia="仿宋_GB2312" w:cs="仿宋_GB2312"/>
          <w:color w:val="000000"/>
          <w:sz w:val="24"/>
          <w:szCs w:val="24"/>
          <w:lang w:eastAsia="zh-CN"/>
        </w:rPr>
        <w:t>：</w:t>
      </w:r>
    </w:p>
    <w:p w14:paraId="523E0EB4">
      <w:pPr>
        <w:numPr>
          <w:ilvl w:val="0"/>
          <w:numId w:val="4"/>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首次合同期限为一年，自合同签订之日起计算。</w:t>
      </w:r>
    </w:p>
    <w:p w14:paraId="4A3E666D">
      <w:pPr>
        <w:numPr>
          <w:ilvl w:val="0"/>
          <w:numId w:val="4"/>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一年合同期满后，若采购人对供应商年度服务评价结果为合格（≥85分），经双方协商一致，可续签下一年度合同，最多续签两次（总服务期不超过三年）。</w:t>
      </w:r>
    </w:p>
    <w:p w14:paraId="10AC123D">
      <w:pPr>
        <w:numPr>
          <w:ilvl w:val="0"/>
          <w:numId w:val="4"/>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如在任一年度服务评价不合格，采购人有权终止合同，不再续签。</w:t>
      </w:r>
    </w:p>
    <w:p w14:paraId="3B1F5114">
      <w:p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3.</w:t>
      </w:r>
      <w:r>
        <w:rPr>
          <w:rFonts w:hint="eastAsia" w:ascii="仿宋_GB2312" w:hAnsi="仿宋_GB2312" w:eastAsia="仿宋_GB2312" w:cs="仿宋_GB2312"/>
          <w:b/>
          <w:bCs/>
          <w:color w:val="000000"/>
          <w:sz w:val="24"/>
          <w:szCs w:val="24"/>
          <w:lang w:eastAsia="zh-CN"/>
        </w:rPr>
        <w:t>续签条件</w:t>
      </w:r>
      <w:r>
        <w:rPr>
          <w:rFonts w:hint="eastAsia" w:ascii="仿宋_GB2312" w:hAnsi="仿宋_GB2312" w:eastAsia="仿宋_GB2312" w:cs="仿宋_GB2312"/>
          <w:color w:val="000000"/>
          <w:sz w:val="24"/>
          <w:szCs w:val="24"/>
          <w:lang w:eastAsia="zh-CN"/>
        </w:rPr>
        <w:t>：</w:t>
      </w:r>
    </w:p>
    <w:p w14:paraId="592B2D84">
      <w:pPr>
        <w:numPr>
          <w:ilvl w:val="0"/>
          <w:numId w:val="5"/>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供应商须在年度服务期满前30日内提交续签申请；</w:t>
      </w:r>
    </w:p>
    <w:p w14:paraId="0299F183">
      <w:pPr>
        <w:numPr>
          <w:ilvl w:val="0"/>
          <w:numId w:val="5"/>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采购人组织年度服务评价，评价标准见</w:t>
      </w:r>
      <w:r>
        <w:rPr>
          <w:rFonts w:hint="eastAsia" w:ascii="仿宋_GB2312" w:hAnsi="仿宋_GB2312" w:eastAsia="仿宋_GB2312" w:cs="仿宋_GB2312"/>
          <w:color w:val="000000"/>
          <w:sz w:val="24"/>
          <w:szCs w:val="24"/>
          <w:highlight w:val="none"/>
          <w:lang w:eastAsia="zh-CN"/>
        </w:rPr>
        <w:t>第四章《</w:t>
      </w:r>
      <w:r>
        <w:rPr>
          <w:rFonts w:hint="eastAsia" w:ascii="仿宋_GB2312" w:hAnsi="仿宋_GB2312" w:eastAsia="仿宋_GB2312" w:cs="仿宋_GB2312"/>
          <w:color w:val="000000"/>
          <w:sz w:val="24"/>
          <w:szCs w:val="24"/>
          <w:highlight w:val="none"/>
          <w:lang w:val="en-US" w:eastAsia="zh-CN"/>
        </w:rPr>
        <w:t>运维服务考核方案</w:t>
      </w:r>
      <w:r>
        <w:rPr>
          <w:rFonts w:hint="eastAsia" w:ascii="仿宋_GB2312" w:hAnsi="仿宋_GB2312" w:eastAsia="仿宋_GB2312" w:cs="仿宋_GB2312"/>
          <w:color w:val="000000"/>
          <w:sz w:val="24"/>
          <w:szCs w:val="24"/>
          <w:highlight w:val="none"/>
          <w:lang w:eastAsia="zh-CN"/>
        </w:rPr>
        <w:t>》；</w:t>
      </w:r>
    </w:p>
    <w:p w14:paraId="55AB595F">
      <w:pPr>
        <w:numPr>
          <w:ilvl w:val="0"/>
          <w:numId w:val="5"/>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评价合格且预算获批后，双方签订下一年度合同，合同内容及价格原则上不变。</w:t>
      </w:r>
    </w:p>
    <w:p w14:paraId="35250D3C">
      <w:pPr>
        <w:spacing w:line="360" w:lineRule="auto"/>
        <w:ind w:left="0" w:leftChars="0" w:firstLine="422" w:firstLineChars="175"/>
        <w:jc w:val="left"/>
        <w:rPr>
          <w:rFonts w:hint="eastAsia" w:ascii="仿宋_GB2312" w:hAnsi="仿宋_GB2312" w:eastAsia="仿宋_GB2312" w:cs="仿宋_GB2312"/>
          <w:b/>
          <w:bCs/>
          <w:color w:val="000000"/>
          <w:sz w:val="24"/>
          <w:szCs w:val="24"/>
          <w:lang w:eastAsia="zh-CN"/>
        </w:rPr>
      </w:pPr>
      <w:r>
        <w:rPr>
          <w:rFonts w:hint="eastAsia" w:ascii="仿宋_GB2312" w:hAnsi="仿宋_GB2312" w:eastAsia="仿宋_GB2312" w:cs="仿宋_GB2312"/>
          <w:b/>
          <w:bCs/>
          <w:color w:val="000000"/>
          <w:sz w:val="24"/>
          <w:szCs w:val="24"/>
          <w:lang w:val="en-US" w:eastAsia="zh-CN"/>
        </w:rPr>
        <w:t>二、</w:t>
      </w:r>
      <w:r>
        <w:rPr>
          <w:rFonts w:hint="eastAsia" w:ascii="仿宋_GB2312" w:hAnsi="仿宋_GB2312" w:eastAsia="仿宋_GB2312" w:cs="仿宋_GB2312"/>
          <w:b/>
          <w:bCs/>
          <w:color w:val="000000"/>
          <w:sz w:val="24"/>
          <w:szCs w:val="24"/>
          <w:lang w:eastAsia="zh-CN"/>
        </w:rPr>
        <w:t xml:space="preserve"> 报价要求</w:t>
      </w:r>
    </w:p>
    <w:p w14:paraId="0714320E">
      <w:p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供应商按一年服务期报价。续签年度合同金额原则上与首次合同金额一致。</w:t>
      </w:r>
    </w:p>
    <w:p w14:paraId="47088BE7">
      <w:pPr>
        <w:spacing w:line="360" w:lineRule="auto"/>
        <w:ind w:left="0" w:leftChars="0" w:firstLine="422" w:firstLineChars="175"/>
        <w:jc w:val="left"/>
        <w:rPr>
          <w:rFonts w:hint="eastAsia" w:ascii="黑体" w:hAnsi="黑体" w:eastAsia="黑体" w:cs="黑体"/>
          <w:b/>
          <w:bCs/>
          <w:color w:val="000000"/>
          <w:sz w:val="24"/>
          <w:szCs w:val="24"/>
          <w:lang w:eastAsia="zh-CN"/>
        </w:rPr>
      </w:pPr>
    </w:p>
    <w:p w14:paraId="20309A46">
      <w:pPr>
        <w:spacing w:line="360" w:lineRule="auto"/>
        <w:ind w:left="0" w:leftChars="0" w:firstLine="422" w:firstLineChars="175"/>
        <w:jc w:val="left"/>
        <w:rPr>
          <w:rFonts w:hint="eastAsia" w:ascii="黑体" w:hAnsi="黑体" w:eastAsia="黑体" w:cs="黑体"/>
          <w:b/>
          <w:bCs/>
          <w:color w:val="000000"/>
          <w:sz w:val="24"/>
          <w:szCs w:val="24"/>
          <w:lang w:eastAsia="zh-CN"/>
        </w:rPr>
      </w:pPr>
      <w:r>
        <w:rPr>
          <w:rFonts w:hint="eastAsia" w:ascii="黑体" w:hAnsi="黑体" w:eastAsia="黑体" w:cs="黑体"/>
          <w:b/>
          <w:bCs/>
          <w:color w:val="000000"/>
          <w:sz w:val="24"/>
          <w:szCs w:val="24"/>
          <w:lang w:eastAsia="zh-CN"/>
        </w:rPr>
        <w:t>第三章 采购需求</w:t>
      </w:r>
    </w:p>
    <w:p w14:paraId="46E018C5">
      <w:pPr>
        <w:ind w:left="0" w:leftChars="0" w:firstLine="422" w:firstLineChars="175"/>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关于采购需求的说明</w:t>
      </w:r>
    </w:p>
    <w:p w14:paraId="1C03BFA7">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以下《采购需求说明》所列内容为采购人所提采购需求，供应商应认真仔细研究。</w:t>
      </w:r>
    </w:p>
    <w:p w14:paraId="1131D36D">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对于不允许偏离的实质性要求和条件，以醒目的方式标注“*”。本章中标注“*”的参数为实质性参数，供应商必须满足并提供证明材料。</w:t>
      </w:r>
    </w:p>
    <w:p w14:paraId="306B4EFE">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本章中标注“◆”的技术参数为重要技术参数。</w:t>
      </w:r>
    </w:p>
    <w:p w14:paraId="7161DE7C">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报价包括采购、运输、人工、安装、售后、税费等所有费用。</w:t>
      </w:r>
    </w:p>
    <w:p w14:paraId="0290AC15">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本章中标注“▲”的产品为主要标的。</w:t>
      </w:r>
      <w:r>
        <w:rPr>
          <w:rFonts w:hint="eastAsia" w:ascii="仿宋_GB2312" w:hAnsi="仿宋_GB2312" w:eastAsia="仿宋_GB2312" w:cs="仿宋_GB2312"/>
          <w:color w:val="000000"/>
          <w:sz w:val="24"/>
          <w:szCs w:val="24"/>
        </w:rPr>
        <w:br w:type="page"/>
      </w:r>
    </w:p>
    <w:p w14:paraId="56F9B92F">
      <w:pPr>
        <w:spacing w:line="360" w:lineRule="auto"/>
        <w:ind w:left="0" w:leftChars="0" w:firstLine="422" w:firstLineChars="175"/>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采购需求</w:t>
      </w:r>
    </w:p>
    <w:p w14:paraId="0A6A76EC">
      <w:pPr>
        <w:pStyle w:val="2"/>
        <w:ind w:left="0" w:leftChars="0" w:firstLine="420" w:firstLineChars="175"/>
        <w:rPr>
          <w:rFonts w:hint="eastAsia" w:ascii="仿宋_GB2312" w:hAnsi="仿宋_GB2312" w:eastAsia="仿宋_GB2312" w:cs="仿宋_GB2312"/>
          <w:b w:val="0"/>
          <w:bCs w:val="0"/>
          <w:color w:val="000000"/>
          <w:sz w:val="24"/>
          <w:szCs w:val="24"/>
          <w:lang w:val="en-US" w:eastAsia="zh-CN"/>
        </w:rPr>
      </w:pPr>
      <w:r>
        <w:rPr>
          <w:rFonts w:hint="eastAsia" w:ascii="仿宋_GB2312" w:hAnsi="仿宋_GB2312" w:eastAsia="仿宋_GB2312" w:cs="仿宋_GB2312"/>
          <w:b w:val="0"/>
          <w:bCs w:val="0"/>
          <w:color w:val="000000"/>
          <w:sz w:val="24"/>
          <w:szCs w:val="24"/>
          <w:lang w:val="en-US" w:eastAsia="zh-CN"/>
        </w:rPr>
        <w:t>本项目服务内容旨在结合学校校园网与数据中心现有建设及运行现状，开展业务信息系统日常巡检、资产梳理、应急处置等运维保障工作，确保网络、系统及设备安全稳定运行，全面提升业务连续性与服务保障能力。</w:t>
      </w:r>
    </w:p>
    <w:p w14:paraId="5C5B038C">
      <w:pPr>
        <w:pStyle w:val="2"/>
        <w:ind w:left="0" w:leftChars="0" w:firstLine="422"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服务内容</w:t>
      </w:r>
    </w:p>
    <w:tbl>
      <w:tblPr>
        <w:tblStyle w:val="6"/>
        <w:tblW w:w="8359" w:type="dxa"/>
        <w:tblInd w:w="0" w:type="dxa"/>
        <w:tblLayout w:type="autofit"/>
        <w:tblCellMar>
          <w:top w:w="0" w:type="dxa"/>
          <w:left w:w="108" w:type="dxa"/>
          <w:bottom w:w="0" w:type="dxa"/>
          <w:right w:w="108" w:type="dxa"/>
        </w:tblCellMar>
      </w:tblPr>
      <w:tblGrid>
        <w:gridCol w:w="756"/>
        <w:gridCol w:w="1267"/>
        <w:gridCol w:w="4976"/>
        <w:gridCol w:w="1360"/>
      </w:tblGrid>
      <w:tr w14:paraId="0E98A6D0">
        <w:tblPrEx>
          <w:tblCellMar>
            <w:top w:w="0" w:type="dxa"/>
            <w:left w:w="108" w:type="dxa"/>
            <w:bottom w:w="0" w:type="dxa"/>
            <w:right w:w="108" w:type="dxa"/>
          </w:tblCellMar>
        </w:tblPrEx>
        <w:trPr>
          <w:trHeight w:val="209" w:hRule="atLeast"/>
        </w:trPr>
        <w:tc>
          <w:tcPr>
            <w:tcW w:w="756" w:type="dxa"/>
            <w:tcBorders>
              <w:top w:val="single" w:color="000000" w:sz="4" w:space="0"/>
              <w:left w:val="nil"/>
              <w:bottom w:val="single" w:color="000000" w:sz="4" w:space="0"/>
              <w:right w:val="nil"/>
              <w:tl2br w:val="nil"/>
            </w:tcBorders>
            <w:shd w:val="clear" w:color="auto" w:fill="FFFFFF"/>
            <w:vAlign w:val="center"/>
          </w:tcPr>
          <w:p w14:paraId="0E2FFC8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序号</w:t>
            </w:r>
          </w:p>
        </w:tc>
        <w:tc>
          <w:tcPr>
            <w:tcW w:w="1267" w:type="dxa"/>
            <w:tcBorders>
              <w:top w:val="single" w:color="000000" w:sz="4" w:space="0"/>
              <w:left w:val="nil"/>
              <w:bottom w:val="single" w:color="000000" w:sz="4" w:space="0"/>
              <w:right w:val="nil"/>
            </w:tcBorders>
            <w:shd w:val="clear" w:color="auto" w:fill="FFFFFF"/>
            <w:vAlign w:val="center"/>
          </w:tcPr>
          <w:p w14:paraId="7481E8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服务类别</w:t>
            </w:r>
          </w:p>
        </w:tc>
        <w:tc>
          <w:tcPr>
            <w:tcW w:w="4976" w:type="dxa"/>
            <w:tcBorders>
              <w:top w:val="single" w:color="000000" w:sz="4" w:space="0"/>
              <w:left w:val="nil"/>
              <w:bottom w:val="single" w:color="000000" w:sz="4" w:space="0"/>
              <w:right w:val="nil"/>
            </w:tcBorders>
            <w:shd w:val="clear" w:color="auto" w:fill="FFFFFF"/>
            <w:vAlign w:val="center"/>
          </w:tcPr>
          <w:p w14:paraId="36C7784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服务内容/年</w:t>
            </w:r>
          </w:p>
        </w:tc>
        <w:tc>
          <w:tcPr>
            <w:tcW w:w="1360" w:type="dxa"/>
            <w:tcBorders>
              <w:top w:val="single" w:color="000000" w:sz="4" w:space="0"/>
              <w:left w:val="nil"/>
              <w:bottom w:val="single" w:color="000000" w:sz="4" w:space="0"/>
              <w:right w:val="nil"/>
            </w:tcBorders>
            <w:shd w:val="clear" w:color="auto" w:fill="FFFFFF"/>
            <w:vAlign w:val="center"/>
          </w:tcPr>
          <w:p w14:paraId="6707DA8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服务频次</w:t>
            </w:r>
          </w:p>
        </w:tc>
      </w:tr>
      <w:tr w14:paraId="094E7720">
        <w:tblPrEx>
          <w:tblCellMar>
            <w:top w:w="0" w:type="dxa"/>
            <w:left w:w="108" w:type="dxa"/>
            <w:bottom w:w="0" w:type="dxa"/>
            <w:right w:w="108" w:type="dxa"/>
          </w:tblCellMar>
        </w:tblPrEx>
        <w:trPr>
          <w:trHeight w:val="838" w:hRule="atLeast"/>
        </w:trPr>
        <w:tc>
          <w:tcPr>
            <w:tcW w:w="756" w:type="dxa"/>
            <w:tcBorders>
              <w:top w:val="single" w:color="000000" w:sz="4" w:space="0"/>
              <w:left w:val="nil"/>
              <w:bottom w:val="single" w:color="000000" w:sz="4" w:space="0"/>
              <w:right w:val="nil"/>
            </w:tcBorders>
            <w:shd w:val="clear" w:color="auto" w:fill="FFFFFF"/>
            <w:vAlign w:val="center"/>
          </w:tcPr>
          <w:p w14:paraId="114444B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w:t>
            </w:r>
          </w:p>
        </w:tc>
        <w:tc>
          <w:tcPr>
            <w:tcW w:w="1267" w:type="dxa"/>
            <w:tcBorders>
              <w:top w:val="single" w:color="000000" w:sz="4" w:space="0"/>
              <w:left w:val="nil"/>
              <w:bottom w:val="single" w:color="000000" w:sz="4" w:space="0"/>
              <w:right w:val="nil"/>
            </w:tcBorders>
            <w:shd w:val="clear" w:color="auto" w:fill="FFFFFF"/>
            <w:vAlign w:val="center"/>
          </w:tcPr>
          <w:p w14:paraId="24FD012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建立管理制度体系/报告</w:t>
            </w:r>
          </w:p>
        </w:tc>
        <w:tc>
          <w:tcPr>
            <w:tcW w:w="4976" w:type="dxa"/>
            <w:tcBorders>
              <w:top w:val="single" w:color="000000" w:sz="4" w:space="0"/>
              <w:left w:val="nil"/>
              <w:bottom w:val="single" w:color="000000" w:sz="4" w:space="0"/>
              <w:right w:val="nil"/>
            </w:tcBorders>
            <w:shd w:val="clear" w:color="auto" w:fill="FFFFFF"/>
            <w:vAlign w:val="center"/>
          </w:tcPr>
          <w:p w14:paraId="1922ECE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推进信息安全管理体系的建立、安全策略和制度体系的建设、安全组织体系的建设、安全运作体系的建设、规范信息安全规划、采购、建设、维护和管理工作，推进信息安全的规范化和制度化建设。要求提交《运维相关管理制度》、《运维制度执行记录》、《运维制度检查表》</w:t>
            </w:r>
          </w:p>
        </w:tc>
        <w:tc>
          <w:tcPr>
            <w:tcW w:w="1360" w:type="dxa"/>
            <w:tcBorders>
              <w:top w:val="single" w:color="000000" w:sz="4" w:space="0"/>
              <w:left w:val="nil"/>
              <w:bottom w:val="single" w:color="000000" w:sz="4" w:space="0"/>
              <w:right w:val="nil"/>
            </w:tcBorders>
            <w:shd w:val="clear" w:color="auto" w:fill="FFFFFF"/>
            <w:vAlign w:val="center"/>
          </w:tcPr>
          <w:p w14:paraId="73060D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1次/年，共1次</w:t>
            </w:r>
          </w:p>
        </w:tc>
      </w:tr>
      <w:tr w14:paraId="3480F9FD">
        <w:tblPrEx>
          <w:tblCellMar>
            <w:top w:w="0" w:type="dxa"/>
            <w:left w:w="108" w:type="dxa"/>
            <w:bottom w:w="0" w:type="dxa"/>
            <w:right w:w="108" w:type="dxa"/>
          </w:tblCellMar>
        </w:tblPrEx>
        <w:trPr>
          <w:trHeight w:val="628" w:hRule="atLeast"/>
        </w:trPr>
        <w:tc>
          <w:tcPr>
            <w:tcW w:w="756" w:type="dxa"/>
            <w:tcBorders>
              <w:top w:val="single" w:color="000000" w:sz="4" w:space="0"/>
              <w:left w:val="nil"/>
              <w:bottom w:val="single" w:color="000000" w:sz="4" w:space="0"/>
              <w:right w:val="nil"/>
            </w:tcBorders>
            <w:shd w:val="clear" w:color="auto" w:fill="FFFFFF"/>
            <w:vAlign w:val="center"/>
          </w:tcPr>
          <w:p w14:paraId="46AC467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w:t>
            </w:r>
          </w:p>
        </w:tc>
        <w:tc>
          <w:tcPr>
            <w:tcW w:w="1267" w:type="dxa"/>
            <w:tcBorders>
              <w:top w:val="single" w:color="000000" w:sz="4" w:space="0"/>
              <w:left w:val="nil"/>
              <w:bottom w:val="single" w:color="000000" w:sz="4" w:space="0"/>
              <w:right w:val="nil"/>
            </w:tcBorders>
            <w:shd w:val="clear" w:color="auto" w:fill="FFFFFF"/>
            <w:vAlign w:val="center"/>
          </w:tcPr>
          <w:p w14:paraId="47BE593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网络巡检</w:t>
            </w:r>
          </w:p>
        </w:tc>
        <w:tc>
          <w:tcPr>
            <w:tcW w:w="4976" w:type="dxa"/>
            <w:tcBorders>
              <w:top w:val="single" w:color="000000" w:sz="4" w:space="0"/>
              <w:left w:val="nil"/>
              <w:bottom w:val="single" w:color="000000" w:sz="4" w:space="0"/>
              <w:right w:val="nil"/>
            </w:tcBorders>
            <w:shd w:val="clear" w:color="auto" w:fill="FFFFFF"/>
            <w:vAlign w:val="center"/>
          </w:tcPr>
          <w:p w14:paraId="6C711CC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对网络状态进行监测，网络设备进行巡检，查看监控网络及设备状态。网络配置调整，策略调整，网络故障处理。要求提交《设备巡检表》、《网络巡检报告》、《网络设备配置备份》</w:t>
            </w:r>
          </w:p>
        </w:tc>
        <w:tc>
          <w:tcPr>
            <w:tcW w:w="1360" w:type="dxa"/>
            <w:tcBorders>
              <w:top w:val="single" w:color="000000" w:sz="4" w:space="0"/>
              <w:left w:val="nil"/>
              <w:bottom w:val="single" w:color="000000" w:sz="4" w:space="0"/>
              <w:right w:val="nil"/>
            </w:tcBorders>
            <w:shd w:val="clear" w:color="auto" w:fill="FFFFFF"/>
            <w:vAlign w:val="center"/>
          </w:tcPr>
          <w:p w14:paraId="752644A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1次/月，共12次</w:t>
            </w:r>
          </w:p>
        </w:tc>
      </w:tr>
      <w:tr w14:paraId="3E6D598C">
        <w:tblPrEx>
          <w:tblCellMar>
            <w:top w:w="0" w:type="dxa"/>
            <w:left w:w="108" w:type="dxa"/>
            <w:bottom w:w="0" w:type="dxa"/>
            <w:right w:w="108" w:type="dxa"/>
          </w:tblCellMar>
        </w:tblPrEx>
        <w:trPr>
          <w:trHeight w:val="838" w:hRule="atLeast"/>
        </w:trPr>
        <w:tc>
          <w:tcPr>
            <w:tcW w:w="756" w:type="dxa"/>
            <w:tcBorders>
              <w:top w:val="single" w:color="000000" w:sz="4" w:space="0"/>
              <w:left w:val="nil"/>
              <w:bottom w:val="single" w:color="000000" w:sz="4" w:space="0"/>
              <w:right w:val="nil"/>
            </w:tcBorders>
            <w:shd w:val="clear" w:color="auto" w:fill="FFFFFF"/>
            <w:vAlign w:val="center"/>
          </w:tcPr>
          <w:p w14:paraId="53032B7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w:t>
            </w:r>
          </w:p>
        </w:tc>
        <w:tc>
          <w:tcPr>
            <w:tcW w:w="1267" w:type="dxa"/>
            <w:tcBorders>
              <w:top w:val="single" w:color="000000" w:sz="4" w:space="0"/>
              <w:left w:val="nil"/>
              <w:bottom w:val="single" w:color="000000" w:sz="4" w:space="0"/>
              <w:right w:val="nil"/>
            </w:tcBorders>
            <w:shd w:val="clear" w:color="auto" w:fill="FFFFFF"/>
            <w:vAlign w:val="center"/>
          </w:tcPr>
          <w:p w14:paraId="3CD2A4F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安全巡检</w:t>
            </w:r>
          </w:p>
        </w:tc>
        <w:tc>
          <w:tcPr>
            <w:tcW w:w="4976" w:type="dxa"/>
            <w:tcBorders>
              <w:top w:val="single" w:color="000000" w:sz="4" w:space="0"/>
              <w:left w:val="nil"/>
              <w:bottom w:val="single" w:color="000000" w:sz="4" w:space="0"/>
              <w:right w:val="nil"/>
            </w:tcBorders>
            <w:shd w:val="clear" w:color="auto" w:fill="FFFFFF"/>
            <w:vAlign w:val="center"/>
          </w:tcPr>
          <w:p w14:paraId="7620AA11">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监测网络安全威胁，优化整体网络安全策略。监测并获取系统安全事件，发掘潜在安全风险，调整系统安全策略还原、审计不合规的网络应用行为，大幅提升自身网络监察力度。</w:t>
            </w:r>
          </w:p>
          <w:p w14:paraId="780FE37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要求提交《安全巡检报告》、《漏洞扫描报告》、《安全设备配置备份》</w:t>
            </w:r>
          </w:p>
        </w:tc>
        <w:tc>
          <w:tcPr>
            <w:tcW w:w="1360" w:type="dxa"/>
            <w:tcBorders>
              <w:top w:val="single" w:color="000000" w:sz="4" w:space="0"/>
              <w:left w:val="nil"/>
              <w:bottom w:val="single" w:color="000000" w:sz="4" w:space="0"/>
              <w:right w:val="nil"/>
            </w:tcBorders>
            <w:shd w:val="clear" w:color="auto" w:fill="FFFFFF"/>
            <w:vAlign w:val="center"/>
          </w:tcPr>
          <w:p w14:paraId="58D03C7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1次/月，共12次</w:t>
            </w:r>
          </w:p>
        </w:tc>
      </w:tr>
      <w:tr w14:paraId="529CF92C">
        <w:tblPrEx>
          <w:tblCellMar>
            <w:top w:w="0" w:type="dxa"/>
            <w:left w:w="108" w:type="dxa"/>
            <w:bottom w:w="0" w:type="dxa"/>
            <w:right w:w="108" w:type="dxa"/>
          </w:tblCellMar>
        </w:tblPrEx>
        <w:trPr>
          <w:trHeight w:val="628" w:hRule="atLeast"/>
        </w:trPr>
        <w:tc>
          <w:tcPr>
            <w:tcW w:w="756" w:type="dxa"/>
            <w:tcBorders>
              <w:top w:val="single" w:color="000000" w:sz="4" w:space="0"/>
              <w:left w:val="nil"/>
              <w:bottom w:val="single" w:color="000000" w:sz="4" w:space="0"/>
              <w:right w:val="nil"/>
            </w:tcBorders>
            <w:shd w:val="clear" w:color="auto" w:fill="FFFFFF"/>
            <w:vAlign w:val="center"/>
          </w:tcPr>
          <w:p w14:paraId="0411335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w:t>
            </w:r>
          </w:p>
        </w:tc>
        <w:tc>
          <w:tcPr>
            <w:tcW w:w="1267" w:type="dxa"/>
            <w:tcBorders>
              <w:top w:val="single" w:color="000000" w:sz="4" w:space="0"/>
              <w:left w:val="nil"/>
              <w:bottom w:val="single" w:color="000000" w:sz="4" w:space="0"/>
              <w:right w:val="nil"/>
            </w:tcBorders>
            <w:shd w:val="clear" w:color="auto" w:fill="FFFFFF"/>
            <w:vAlign w:val="center"/>
          </w:tcPr>
          <w:p w14:paraId="601FCD5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资产梳理</w:t>
            </w:r>
          </w:p>
        </w:tc>
        <w:tc>
          <w:tcPr>
            <w:tcW w:w="4976" w:type="dxa"/>
            <w:tcBorders>
              <w:top w:val="single" w:color="000000" w:sz="4" w:space="0"/>
              <w:left w:val="nil"/>
              <w:bottom w:val="single" w:color="000000" w:sz="4" w:space="0"/>
              <w:right w:val="nil"/>
            </w:tcBorders>
            <w:shd w:val="clear" w:color="auto" w:fill="FFFFFF"/>
            <w:vAlign w:val="center"/>
          </w:tcPr>
          <w:p w14:paraId="3F144E41">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全面梳理网络环境内应用系统、网络资产、服务器资产、环境资产，从资产故障影响的范围及资产故障造成的损失两个维度对梳理出来的资产分级，对不同等级的资产进行相应级别的管理。要求提交《资产统计清单》、《资产报告》</w:t>
            </w:r>
          </w:p>
        </w:tc>
        <w:tc>
          <w:tcPr>
            <w:tcW w:w="1360" w:type="dxa"/>
            <w:tcBorders>
              <w:top w:val="single" w:color="000000" w:sz="4" w:space="0"/>
              <w:left w:val="nil"/>
              <w:bottom w:val="single" w:color="000000" w:sz="4" w:space="0"/>
              <w:right w:val="nil"/>
            </w:tcBorders>
            <w:shd w:val="clear" w:color="auto" w:fill="FFFFFF"/>
            <w:vAlign w:val="center"/>
          </w:tcPr>
          <w:p w14:paraId="0210BA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1次/半年，共2次</w:t>
            </w:r>
          </w:p>
        </w:tc>
      </w:tr>
      <w:tr w14:paraId="7385A996">
        <w:tblPrEx>
          <w:tblCellMar>
            <w:top w:w="0" w:type="dxa"/>
            <w:left w:w="108" w:type="dxa"/>
            <w:bottom w:w="0" w:type="dxa"/>
            <w:right w:w="108" w:type="dxa"/>
          </w:tblCellMar>
        </w:tblPrEx>
        <w:trPr>
          <w:trHeight w:val="416" w:hRule="atLeast"/>
        </w:trPr>
        <w:tc>
          <w:tcPr>
            <w:tcW w:w="756" w:type="dxa"/>
            <w:tcBorders>
              <w:top w:val="single" w:color="000000" w:sz="4" w:space="0"/>
              <w:left w:val="nil"/>
              <w:bottom w:val="single" w:color="000000" w:sz="4" w:space="0"/>
              <w:right w:val="nil"/>
            </w:tcBorders>
            <w:shd w:val="clear" w:color="auto" w:fill="FFFFFF"/>
            <w:vAlign w:val="center"/>
          </w:tcPr>
          <w:p w14:paraId="168BD05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5</w:t>
            </w:r>
          </w:p>
        </w:tc>
        <w:tc>
          <w:tcPr>
            <w:tcW w:w="1267" w:type="dxa"/>
            <w:tcBorders>
              <w:top w:val="single" w:color="000000" w:sz="4" w:space="0"/>
              <w:left w:val="nil"/>
              <w:bottom w:val="single" w:color="000000" w:sz="4" w:space="0"/>
              <w:right w:val="nil"/>
            </w:tcBorders>
            <w:shd w:val="clear" w:color="auto" w:fill="FFFFFF"/>
            <w:vAlign w:val="center"/>
          </w:tcPr>
          <w:p w14:paraId="6734921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应急响应</w:t>
            </w:r>
          </w:p>
        </w:tc>
        <w:tc>
          <w:tcPr>
            <w:tcW w:w="4976" w:type="dxa"/>
            <w:tcBorders>
              <w:top w:val="single" w:color="000000" w:sz="4" w:space="0"/>
              <w:left w:val="nil"/>
              <w:bottom w:val="single" w:color="000000" w:sz="4" w:space="0"/>
              <w:right w:val="nil"/>
            </w:tcBorders>
            <w:shd w:val="clear" w:color="auto" w:fill="FFFFFF"/>
            <w:vAlign w:val="center"/>
          </w:tcPr>
          <w:p w14:paraId="66D588C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突发事件快速响应，有效地控制事态，减少受影响业务的范围和程度；利用现有资源和响应团队，有组织的开展事件的处理；保障信息系统能够在发生突发事件时业务的连续性，使事件状态处于可接受水平，提高应对突发事件的能力。要求提交《应急响应报告》、《应急预案》、《应急演练方案》</w:t>
            </w:r>
          </w:p>
        </w:tc>
        <w:tc>
          <w:tcPr>
            <w:tcW w:w="1360" w:type="dxa"/>
            <w:tcBorders>
              <w:top w:val="single" w:color="000000" w:sz="4" w:space="0"/>
              <w:left w:val="nil"/>
              <w:bottom w:val="single" w:color="000000" w:sz="4" w:space="0"/>
              <w:right w:val="nil"/>
            </w:tcBorders>
            <w:shd w:val="clear" w:color="auto" w:fill="FFFFFF"/>
            <w:vAlign w:val="center"/>
          </w:tcPr>
          <w:p w14:paraId="20EF585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7*24小时</w:t>
            </w:r>
          </w:p>
        </w:tc>
      </w:tr>
      <w:tr w14:paraId="084347A1">
        <w:tblPrEx>
          <w:tblCellMar>
            <w:top w:w="0" w:type="dxa"/>
            <w:left w:w="108" w:type="dxa"/>
            <w:bottom w:w="0" w:type="dxa"/>
            <w:right w:w="108" w:type="dxa"/>
          </w:tblCellMar>
        </w:tblPrEx>
        <w:trPr>
          <w:trHeight w:val="628" w:hRule="atLeast"/>
        </w:trPr>
        <w:tc>
          <w:tcPr>
            <w:tcW w:w="756" w:type="dxa"/>
            <w:tcBorders>
              <w:top w:val="single" w:color="000000" w:sz="4" w:space="0"/>
              <w:left w:val="nil"/>
              <w:bottom w:val="single" w:color="000000" w:sz="4" w:space="0"/>
              <w:right w:val="nil"/>
            </w:tcBorders>
            <w:shd w:val="clear" w:color="auto" w:fill="FFFFFF"/>
            <w:vAlign w:val="center"/>
          </w:tcPr>
          <w:p w14:paraId="69C7E32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6</w:t>
            </w:r>
          </w:p>
        </w:tc>
        <w:tc>
          <w:tcPr>
            <w:tcW w:w="1267" w:type="dxa"/>
            <w:tcBorders>
              <w:top w:val="single" w:color="000000" w:sz="4" w:space="0"/>
              <w:left w:val="nil"/>
              <w:bottom w:val="single" w:color="000000" w:sz="4" w:space="0"/>
              <w:right w:val="nil"/>
            </w:tcBorders>
            <w:shd w:val="clear" w:color="auto" w:fill="FFFFFF"/>
            <w:vAlign w:val="center"/>
          </w:tcPr>
          <w:p w14:paraId="2461807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重要时期安全保障</w:t>
            </w:r>
          </w:p>
        </w:tc>
        <w:tc>
          <w:tcPr>
            <w:tcW w:w="4976" w:type="dxa"/>
            <w:tcBorders>
              <w:top w:val="single" w:color="000000" w:sz="4" w:space="0"/>
              <w:left w:val="nil"/>
              <w:bottom w:val="single" w:color="000000" w:sz="4" w:space="0"/>
              <w:right w:val="nil"/>
            </w:tcBorders>
            <w:shd w:val="clear" w:color="auto" w:fill="FFFFFF"/>
            <w:vAlign w:val="center"/>
          </w:tcPr>
          <w:p w14:paraId="4B8A7D4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提供春节，五一，十一等其他按需保障。重要时刻专人值守，及时发现、追踪安全异常事件，实现安全事件应急处置。要求提交《安全巡检报告&gt;《漏洞扫描报告》、《重保值班表》、《重要保障方案》</w:t>
            </w:r>
          </w:p>
        </w:tc>
        <w:tc>
          <w:tcPr>
            <w:tcW w:w="1360" w:type="dxa"/>
            <w:tcBorders>
              <w:top w:val="single" w:color="000000" w:sz="4" w:space="0"/>
              <w:left w:val="nil"/>
              <w:bottom w:val="single" w:color="000000" w:sz="4" w:space="0"/>
              <w:right w:val="nil"/>
            </w:tcBorders>
            <w:shd w:val="clear" w:color="auto" w:fill="FFFFFF"/>
            <w:vAlign w:val="center"/>
          </w:tcPr>
          <w:p w14:paraId="59A9A1D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按需</w:t>
            </w:r>
          </w:p>
        </w:tc>
      </w:tr>
      <w:tr w14:paraId="73647786">
        <w:tblPrEx>
          <w:tblCellMar>
            <w:top w:w="0" w:type="dxa"/>
            <w:left w:w="108" w:type="dxa"/>
            <w:bottom w:w="0" w:type="dxa"/>
            <w:right w:w="108" w:type="dxa"/>
          </w:tblCellMar>
        </w:tblPrEx>
        <w:trPr>
          <w:trHeight w:val="628" w:hRule="atLeast"/>
        </w:trPr>
        <w:tc>
          <w:tcPr>
            <w:tcW w:w="756" w:type="dxa"/>
            <w:tcBorders>
              <w:top w:val="single" w:color="000000" w:sz="4" w:space="0"/>
              <w:left w:val="nil"/>
              <w:bottom w:val="single" w:color="000000" w:sz="4" w:space="0"/>
              <w:right w:val="nil"/>
            </w:tcBorders>
            <w:shd w:val="clear" w:color="auto" w:fill="FFFFFF"/>
            <w:vAlign w:val="center"/>
          </w:tcPr>
          <w:p w14:paraId="181F9A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7</w:t>
            </w:r>
          </w:p>
        </w:tc>
        <w:tc>
          <w:tcPr>
            <w:tcW w:w="1267" w:type="dxa"/>
            <w:tcBorders>
              <w:top w:val="single" w:color="000000" w:sz="4" w:space="0"/>
              <w:left w:val="nil"/>
              <w:bottom w:val="single" w:color="000000" w:sz="4" w:space="0"/>
              <w:right w:val="nil"/>
            </w:tcBorders>
            <w:shd w:val="clear" w:color="auto" w:fill="FFFFFF"/>
            <w:vAlign w:val="center"/>
          </w:tcPr>
          <w:p w14:paraId="37B9CB9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安全检查</w:t>
            </w:r>
          </w:p>
        </w:tc>
        <w:tc>
          <w:tcPr>
            <w:tcW w:w="4976" w:type="dxa"/>
            <w:tcBorders>
              <w:top w:val="single" w:color="000000" w:sz="4" w:space="0"/>
              <w:left w:val="nil"/>
              <w:bottom w:val="single" w:color="000000" w:sz="4" w:space="0"/>
              <w:right w:val="nil"/>
            </w:tcBorders>
            <w:shd w:val="clear" w:color="auto" w:fill="FFFFFF"/>
            <w:vAlign w:val="center"/>
          </w:tcPr>
          <w:p w14:paraId="6DC4B3A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在服务期内，遇到省市，网信办等相关部门网络安全检查时，提供技术支持协助做好相关工作及网络安全自检，协助处理好相关问题及突发情况，输出相关检查报告。要求提交《安全巡检报告》《安全检查方案》、《安全检查报告》、《故障处理报告》</w:t>
            </w:r>
          </w:p>
        </w:tc>
        <w:tc>
          <w:tcPr>
            <w:tcW w:w="1360" w:type="dxa"/>
            <w:tcBorders>
              <w:top w:val="single" w:color="000000" w:sz="4" w:space="0"/>
              <w:left w:val="nil"/>
              <w:bottom w:val="single" w:color="000000" w:sz="4" w:space="0"/>
              <w:right w:val="nil"/>
            </w:tcBorders>
            <w:shd w:val="clear" w:color="auto" w:fill="FFFFFF"/>
            <w:vAlign w:val="center"/>
          </w:tcPr>
          <w:p w14:paraId="3115A9C8">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按需</w:t>
            </w:r>
          </w:p>
        </w:tc>
      </w:tr>
      <w:tr w14:paraId="7163529C">
        <w:tblPrEx>
          <w:tblCellMar>
            <w:top w:w="0" w:type="dxa"/>
            <w:left w:w="108" w:type="dxa"/>
            <w:bottom w:w="0" w:type="dxa"/>
            <w:right w:w="108" w:type="dxa"/>
          </w:tblCellMar>
        </w:tblPrEx>
        <w:trPr>
          <w:trHeight w:val="838" w:hRule="atLeast"/>
        </w:trPr>
        <w:tc>
          <w:tcPr>
            <w:tcW w:w="756" w:type="dxa"/>
            <w:tcBorders>
              <w:top w:val="single" w:color="000000" w:sz="4" w:space="0"/>
              <w:left w:val="nil"/>
              <w:bottom w:val="single" w:color="000000" w:sz="4" w:space="0"/>
              <w:right w:val="nil"/>
            </w:tcBorders>
            <w:shd w:val="clear" w:color="auto" w:fill="FFFFFF"/>
            <w:vAlign w:val="center"/>
          </w:tcPr>
          <w:p w14:paraId="704A32E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8</w:t>
            </w:r>
          </w:p>
        </w:tc>
        <w:tc>
          <w:tcPr>
            <w:tcW w:w="1267" w:type="dxa"/>
            <w:tcBorders>
              <w:top w:val="single" w:color="000000" w:sz="4" w:space="0"/>
              <w:left w:val="nil"/>
              <w:bottom w:val="single" w:color="000000" w:sz="4" w:space="0"/>
              <w:right w:val="nil"/>
            </w:tcBorders>
            <w:shd w:val="clear" w:color="auto" w:fill="FFFFFF"/>
            <w:vAlign w:val="center"/>
          </w:tcPr>
          <w:p w14:paraId="2C530BB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安全培训</w:t>
            </w:r>
          </w:p>
        </w:tc>
        <w:tc>
          <w:tcPr>
            <w:tcW w:w="4976" w:type="dxa"/>
            <w:tcBorders>
              <w:top w:val="single" w:color="000000" w:sz="4" w:space="0"/>
              <w:left w:val="nil"/>
              <w:bottom w:val="single" w:color="000000" w:sz="4" w:space="0"/>
              <w:right w:val="nil"/>
            </w:tcBorders>
            <w:shd w:val="clear" w:color="auto" w:fill="FFFFFF"/>
            <w:vAlign w:val="center"/>
          </w:tcPr>
          <w:p w14:paraId="08F4FC6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lang w:eastAsia="zh-CN"/>
              </w:rPr>
            </w:pPr>
            <w:r>
              <w:rPr>
                <w:rFonts w:hint="eastAsia" w:ascii="仿宋_GB2312" w:hAnsi="仿宋_GB2312" w:eastAsia="仿宋_GB2312" w:cs="仿宋_GB2312"/>
                <w:b w:val="0"/>
                <w:color w:val="000000"/>
                <w:sz w:val="24"/>
                <w:szCs w:val="24"/>
              </w:rPr>
              <w:t>针对管理人员、技术人员的培训，了解国家相关部门对系统信息安全管理和建设相关标准；了解信息系统所面临的严峻安全威胁和挑战，以及如何进行全面有效的安全防护措施。要求提供《课程资料》、《培训记录表》、《培训反馈表</w:t>
            </w:r>
            <w:r>
              <w:rPr>
                <w:rFonts w:hint="eastAsia" w:ascii="仿宋_GB2312" w:hAnsi="仿宋_GB2312" w:eastAsia="仿宋_GB2312" w:cs="仿宋_GB2312"/>
                <w:b w:val="0"/>
                <w:color w:val="000000"/>
                <w:sz w:val="24"/>
                <w:szCs w:val="24"/>
                <w:lang w:eastAsia="zh-CN"/>
              </w:rPr>
              <w:t>》</w:t>
            </w:r>
          </w:p>
        </w:tc>
        <w:tc>
          <w:tcPr>
            <w:tcW w:w="1360" w:type="dxa"/>
            <w:tcBorders>
              <w:top w:val="single" w:color="000000" w:sz="4" w:space="0"/>
              <w:left w:val="nil"/>
              <w:bottom w:val="single" w:color="000000" w:sz="4" w:space="0"/>
              <w:right w:val="nil"/>
            </w:tcBorders>
            <w:shd w:val="clear" w:color="auto" w:fill="FFFFFF"/>
            <w:vAlign w:val="center"/>
          </w:tcPr>
          <w:p w14:paraId="23230CA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1次/年，共1次</w:t>
            </w:r>
          </w:p>
        </w:tc>
      </w:tr>
      <w:tr w14:paraId="3C994A56">
        <w:tblPrEx>
          <w:tblCellMar>
            <w:top w:w="0" w:type="dxa"/>
            <w:left w:w="108" w:type="dxa"/>
            <w:bottom w:w="0" w:type="dxa"/>
            <w:right w:w="108" w:type="dxa"/>
          </w:tblCellMar>
        </w:tblPrEx>
        <w:trPr>
          <w:trHeight w:val="419" w:hRule="atLeast"/>
        </w:trPr>
        <w:tc>
          <w:tcPr>
            <w:tcW w:w="756" w:type="dxa"/>
            <w:tcBorders>
              <w:top w:val="single" w:color="000000" w:sz="4" w:space="0"/>
              <w:left w:val="nil"/>
              <w:bottom w:val="single" w:color="000000" w:sz="4" w:space="0"/>
              <w:right w:val="nil"/>
            </w:tcBorders>
            <w:shd w:val="clear" w:color="auto" w:fill="FFFFFF"/>
            <w:vAlign w:val="center"/>
          </w:tcPr>
          <w:p w14:paraId="6AB4EA4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9</w:t>
            </w:r>
          </w:p>
        </w:tc>
        <w:tc>
          <w:tcPr>
            <w:tcW w:w="1267" w:type="dxa"/>
            <w:tcBorders>
              <w:top w:val="single" w:color="000000" w:sz="4" w:space="0"/>
              <w:left w:val="nil"/>
              <w:bottom w:val="single" w:color="000000" w:sz="4" w:space="0"/>
              <w:right w:val="nil"/>
            </w:tcBorders>
            <w:shd w:val="clear" w:color="auto" w:fill="FFFFFF"/>
            <w:vAlign w:val="center"/>
          </w:tcPr>
          <w:p w14:paraId="454418D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信息化规划建设支撑</w:t>
            </w:r>
          </w:p>
        </w:tc>
        <w:tc>
          <w:tcPr>
            <w:tcW w:w="4976" w:type="dxa"/>
            <w:tcBorders>
              <w:top w:val="single" w:color="000000" w:sz="4" w:space="0"/>
              <w:left w:val="nil"/>
              <w:bottom w:val="single" w:color="000000" w:sz="4" w:space="0"/>
              <w:right w:val="nil"/>
            </w:tcBorders>
            <w:shd w:val="clear" w:color="auto" w:fill="FFFFFF"/>
            <w:vAlign w:val="center"/>
          </w:tcPr>
          <w:p w14:paraId="6078E24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完成网络和安全需求改造和维护，配合其余需要完成的网络安全工作，提供合理化建设建议。要求提供《信息化建设合理化建议》、《网络安全运维总结及建议》</w:t>
            </w:r>
          </w:p>
        </w:tc>
        <w:tc>
          <w:tcPr>
            <w:tcW w:w="1360" w:type="dxa"/>
            <w:tcBorders>
              <w:top w:val="single" w:color="000000" w:sz="4" w:space="0"/>
              <w:left w:val="nil"/>
              <w:bottom w:val="single" w:color="000000" w:sz="4" w:space="0"/>
              <w:right w:val="nil"/>
            </w:tcBorders>
            <w:shd w:val="clear" w:color="auto" w:fill="FFFFFF"/>
            <w:vAlign w:val="center"/>
          </w:tcPr>
          <w:p w14:paraId="7AA2CFF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1次/半年，共2次</w:t>
            </w:r>
          </w:p>
        </w:tc>
      </w:tr>
    </w:tbl>
    <w:p w14:paraId="755C3A33">
      <w:pPr>
        <w:pStyle w:val="2"/>
        <w:ind w:left="0" w:leftChars="0" w:firstLine="422" w:firstLineChars="175"/>
        <w:rPr>
          <w:rFonts w:hint="eastAsia" w:ascii="仿宋_GB2312" w:hAnsi="仿宋_GB2312" w:eastAsia="仿宋_GB2312" w:cs="仿宋_GB2312"/>
          <w:sz w:val="24"/>
          <w:szCs w:val="24"/>
          <w:lang w:val="en-US" w:eastAsia="zh-CN"/>
        </w:rPr>
      </w:pPr>
    </w:p>
    <w:p w14:paraId="0ABF94E1">
      <w:pPr>
        <w:pStyle w:val="2"/>
        <w:ind w:left="0" w:leftChars="0" w:firstLine="422" w:firstLineChars="175"/>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 运维管理工具功能要求</w:t>
      </w:r>
    </w:p>
    <w:p w14:paraId="16A3DCE4">
      <w:pPr>
        <w:pStyle w:val="2"/>
        <w:ind w:left="0" w:leftChars="0" w:firstLine="420" w:firstLineChars="175"/>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除以上服务内容外，供应商须提供一套运维管理工具，功能要求如下：</w:t>
      </w:r>
    </w:p>
    <w:p w14:paraId="373362C4">
      <w:pPr>
        <w:spacing w:line="360" w:lineRule="auto"/>
        <w:ind w:left="0" w:leftChars="0" w:firstLine="422" w:firstLineChars="175"/>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lang w:val="en-US" w:eastAsia="zh-CN"/>
        </w:rPr>
        <w:t>1.</w:t>
      </w:r>
      <w:r>
        <w:rPr>
          <w:rFonts w:hint="eastAsia" w:ascii="仿宋_GB2312" w:hAnsi="仿宋_GB2312" w:eastAsia="仿宋_GB2312" w:cs="仿宋_GB2312"/>
          <w:b/>
          <w:bCs/>
          <w:color w:val="000000"/>
          <w:sz w:val="24"/>
          <w:szCs w:val="24"/>
        </w:rPr>
        <w:t>工单管理模块</w:t>
      </w:r>
    </w:p>
    <w:p w14:paraId="4960D8F6">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事件管理支持事件创建，完整记录事件编号、处理日期、事件类型、处理人员、事件描述、处置过程、处理结果、确认意见及确认时间；提供事件统计分析、多角色权限管理、工单打印导出功能，可与资产管理模块联动，实现设备信息关联查询。</w:t>
      </w:r>
    </w:p>
    <w:p w14:paraId="23703474">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故障管理支持故障创建，记录故障现象、发生时间、影响范围、解决方案、报告人及报告时间；支持故障数据统计分析与角色权限配置，可关联资产管理模块，精准定位故障设备。</w:t>
      </w:r>
    </w:p>
    <w:p w14:paraId="22990CE0">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配置变更管理记录设备配置变更日志，支持操作记录统计，可与资产管理模块联动，支持指定设备选择与变更关联，实现配置变更全过程可管、可控、可查。</w:t>
      </w:r>
    </w:p>
    <w:p w14:paraId="648FB2D5">
      <w:pPr>
        <w:spacing w:line="360" w:lineRule="auto"/>
        <w:ind w:left="0" w:leftChars="0" w:firstLine="422" w:firstLineChars="175"/>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lang w:val="en-US" w:eastAsia="zh-CN"/>
        </w:rPr>
        <w:t>2.</w:t>
      </w:r>
      <w:r>
        <w:rPr>
          <w:rFonts w:hint="eastAsia" w:ascii="仿宋_GB2312" w:hAnsi="仿宋_GB2312" w:eastAsia="仿宋_GB2312" w:cs="仿宋_GB2312"/>
          <w:b/>
          <w:bCs/>
          <w:color w:val="000000"/>
          <w:sz w:val="24"/>
          <w:szCs w:val="24"/>
        </w:rPr>
        <w:t>知识库模块</w:t>
      </w:r>
    </w:p>
    <w:p w14:paraId="77CC7DD3">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汇聚运维操作指引、管理制度规范、文档模板、培训资料及典型故障处置案例，形成标准化知识体系，为事件处置、故障排查、运维操作提供统一参考依据。</w:t>
      </w:r>
    </w:p>
    <w:p w14:paraId="7B040FCB">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◆资产管理模块</w:t>
      </w:r>
    </w:p>
    <w:p w14:paraId="65DEE098">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支持资产批量导入导出、单条资产新增，实现资产分类分级管理；提供资产配置信息管理，同步关联设备故障与事件处置记录，实现资产全生命周期运维追溯。</w:t>
      </w:r>
    </w:p>
    <w:p w14:paraId="325B1F2E">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◆运维自动化模块</w:t>
      </w:r>
    </w:p>
    <w:p w14:paraId="79C9D7E2">
      <w:pPr>
        <w:spacing w:line="360" w:lineRule="auto"/>
        <w:ind w:left="0" w:leftChars="0" w:firstLine="420" w:firstLineChars="175"/>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支持自定义巡检计划创建、巡检任务分类管理，可配置自动化巡检脚本执行周期性巡检任务，自动生成标准化巡检报告，提升巡检效率与规范化水平。</w:t>
      </w:r>
    </w:p>
    <w:p w14:paraId="30D890D9">
      <w:pPr>
        <w:pStyle w:val="2"/>
        <w:ind w:left="0" w:leftChars="0" w:firstLine="422" w:firstLineChars="175"/>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三、</w:t>
      </w:r>
      <w:r>
        <w:rPr>
          <w:rFonts w:hint="eastAsia" w:ascii="仿宋_GB2312" w:hAnsi="仿宋_GB2312" w:eastAsia="仿宋_GB2312" w:cs="仿宋_GB2312"/>
          <w:sz w:val="24"/>
          <w:szCs w:val="24"/>
        </w:rPr>
        <w:t>服务要求</w:t>
      </w:r>
    </w:p>
    <w:p w14:paraId="61DAE612">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1。</w:t>
      </w:r>
      <w:r>
        <w:rPr>
          <w:rFonts w:hint="eastAsia" w:ascii="仿宋_GB2312" w:hAnsi="仿宋_GB2312" w:eastAsia="仿宋_GB2312" w:cs="仿宋_GB2312"/>
          <w:color w:val="000000"/>
          <w:sz w:val="24"/>
          <w:szCs w:val="24"/>
        </w:rPr>
        <w:t>供应商若中标后，自签订合同后，实施过程中影响到原有系统、设备质保期限等，必须同意采购人单方面解除合同。（响应文件中须提供承诺函并加盖公章）</w:t>
      </w:r>
    </w:p>
    <w:p w14:paraId="18603C6F">
      <w:pPr>
        <w:spacing w:line="360" w:lineRule="auto"/>
        <w:ind w:left="0" w:leftChars="0" w:firstLine="420" w:firstLineChars="175"/>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2。</w:t>
      </w:r>
      <w:r>
        <w:rPr>
          <w:rFonts w:hint="eastAsia" w:ascii="仿宋_GB2312" w:hAnsi="仿宋_GB2312" w:eastAsia="仿宋_GB2312" w:cs="仿宋_GB2312"/>
          <w:color w:val="000000"/>
          <w:sz w:val="24"/>
          <w:szCs w:val="24"/>
        </w:rPr>
        <w:t>供应商若中标后，校园网全面进入运维服务期间，如因供应商提供的服务不到位或将整体项目私自转包等原因造成校园网异常，严重影响师生使用，或造成很大的社会负面影响，以致合作目的无法达成，必须同意采购人单方面解除合同。（响应文件中须提供承诺函并加盖公章）</w:t>
      </w:r>
    </w:p>
    <w:p w14:paraId="4B3F5680">
      <w:pPr>
        <w:pStyle w:val="2"/>
        <w:ind w:left="0" w:leftChars="0" w:firstLine="422" w:firstLineChars="175"/>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四、</w:t>
      </w:r>
      <w:r>
        <w:rPr>
          <w:rFonts w:hint="eastAsia" w:ascii="仿宋_GB2312" w:hAnsi="仿宋_GB2312" w:eastAsia="仿宋_GB2312" w:cs="仿宋_GB2312"/>
          <w:sz w:val="24"/>
          <w:szCs w:val="24"/>
        </w:rPr>
        <w:t>人员要求</w:t>
      </w:r>
    </w:p>
    <w:p w14:paraId="57E6388D">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应商根据项目情况配备项目组成员，提供不少于3人的技术支撑团队。团队人员需具备信息系统项目管理师、注册信息安全工程师(CISE)、ITSS IT服务项目经理、高级信息安全管理工程师等服务能力。</w:t>
      </w:r>
    </w:p>
    <w:p w14:paraId="68509C7E">
      <w:pPr>
        <w:wordWrap w:val="0"/>
        <w:topLinePunct/>
        <w:spacing w:line="360" w:lineRule="auto"/>
        <w:ind w:left="0" w:leftChars="0" w:firstLine="422" w:firstLineChars="175"/>
        <w:jc w:val="center"/>
        <w:outlineLvl w:val="1"/>
        <w:rPr>
          <w:rFonts w:hint="eastAsia" w:ascii="仿宋_GB2312" w:hAnsi="仿宋_GB2312" w:eastAsia="仿宋_GB2312" w:cs="仿宋_GB2312"/>
          <w:b/>
          <w:bCs/>
          <w:sz w:val="24"/>
          <w:szCs w:val="24"/>
        </w:rPr>
      </w:pPr>
      <w:r>
        <w:rPr>
          <w:rFonts w:hint="eastAsia" w:ascii="仿宋_GB2312" w:hAnsi="仿宋_GB2312" w:eastAsia="仿宋_GB2312" w:cs="仿宋_GB2312"/>
          <w:b/>
          <w:sz w:val="24"/>
          <w:szCs w:val="24"/>
        </w:rPr>
        <w:t>采购需求一览表</w:t>
      </w:r>
    </w:p>
    <w:tbl>
      <w:tblPr>
        <w:tblStyle w:val="6"/>
        <w:tblpPr w:leftFromText="180" w:rightFromText="180" w:vertAnchor="text" w:horzAnchor="page" w:tblpXSpec="center" w:tblpY="291"/>
        <w:tblOverlap w:val="never"/>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466"/>
        <w:gridCol w:w="1352"/>
        <w:gridCol w:w="1512"/>
        <w:gridCol w:w="1256"/>
        <w:gridCol w:w="1312"/>
        <w:gridCol w:w="850"/>
      </w:tblGrid>
      <w:tr w14:paraId="2B68E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752" w:type="dxa"/>
            <w:vAlign w:val="center"/>
          </w:tcPr>
          <w:p w14:paraId="793947A0">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1466" w:type="dxa"/>
            <w:vAlign w:val="center"/>
          </w:tcPr>
          <w:p w14:paraId="09ED4F47">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名称</w:t>
            </w:r>
          </w:p>
        </w:tc>
        <w:tc>
          <w:tcPr>
            <w:tcW w:w="1352" w:type="dxa"/>
            <w:vAlign w:val="center"/>
          </w:tcPr>
          <w:p w14:paraId="3141DB55">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服务范围</w:t>
            </w:r>
          </w:p>
        </w:tc>
        <w:tc>
          <w:tcPr>
            <w:tcW w:w="1512" w:type="dxa"/>
            <w:vAlign w:val="center"/>
          </w:tcPr>
          <w:p w14:paraId="4624C4B7">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服务要求</w:t>
            </w:r>
          </w:p>
        </w:tc>
        <w:tc>
          <w:tcPr>
            <w:tcW w:w="1256" w:type="dxa"/>
            <w:vAlign w:val="center"/>
          </w:tcPr>
          <w:p w14:paraId="678F2CF7">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服务时间</w:t>
            </w:r>
          </w:p>
        </w:tc>
        <w:tc>
          <w:tcPr>
            <w:tcW w:w="1312" w:type="dxa"/>
            <w:vAlign w:val="center"/>
          </w:tcPr>
          <w:p w14:paraId="7C8C42EB">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服务标准</w:t>
            </w:r>
          </w:p>
        </w:tc>
        <w:tc>
          <w:tcPr>
            <w:tcW w:w="850" w:type="dxa"/>
            <w:vAlign w:val="center"/>
          </w:tcPr>
          <w:p w14:paraId="45FC2CE3">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备注</w:t>
            </w:r>
          </w:p>
        </w:tc>
      </w:tr>
      <w:tr w14:paraId="10812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752" w:type="dxa"/>
            <w:vAlign w:val="center"/>
          </w:tcPr>
          <w:p w14:paraId="36318F97">
            <w:pPr>
              <w:spacing w:line="360"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466" w:type="dxa"/>
            <w:vAlign w:val="center"/>
          </w:tcPr>
          <w:p w14:paraId="0E9146AA">
            <w:pPr>
              <w:spacing w:line="360"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校园网网络运维服务项目</w:t>
            </w:r>
          </w:p>
        </w:tc>
        <w:tc>
          <w:tcPr>
            <w:tcW w:w="1352" w:type="dxa"/>
            <w:vAlign w:val="center"/>
          </w:tcPr>
          <w:p w14:paraId="3048A225">
            <w:pPr>
              <w:jc w:val="left"/>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芜湖开放大学校园网网络</w:t>
            </w:r>
          </w:p>
        </w:tc>
        <w:tc>
          <w:tcPr>
            <w:tcW w:w="1512" w:type="dxa"/>
            <w:vAlign w:val="center"/>
          </w:tcPr>
          <w:p w14:paraId="205DC146">
            <w:pPr>
              <w:spacing w:line="360" w:lineRule="auto"/>
              <w:jc w:val="both"/>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在规定时间内，保质保量完成</w:t>
            </w:r>
          </w:p>
        </w:tc>
        <w:tc>
          <w:tcPr>
            <w:tcW w:w="1256" w:type="dxa"/>
            <w:vAlign w:val="center"/>
          </w:tcPr>
          <w:p w14:paraId="5E9FADC9">
            <w:pPr>
              <w:spacing w:line="360" w:lineRule="auto"/>
              <w:jc w:val="both"/>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一年</w:t>
            </w:r>
          </w:p>
        </w:tc>
        <w:tc>
          <w:tcPr>
            <w:tcW w:w="1312" w:type="dxa"/>
            <w:vAlign w:val="center"/>
          </w:tcPr>
          <w:p w14:paraId="4A1FA5B5">
            <w:pPr>
              <w:spacing w:line="360" w:lineRule="auto"/>
              <w:jc w:val="both"/>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符合磋商文件要求及国家标准</w:t>
            </w:r>
          </w:p>
        </w:tc>
        <w:tc>
          <w:tcPr>
            <w:tcW w:w="850" w:type="dxa"/>
            <w:vAlign w:val="center"/>
          </w:tcPr>
          <w:p w14:paraId="24119302">
            <w:pPr>
              <w:spacing w:line="360" w:lineRule="auto"/>
              <w:ind w:left="0" w:leftChars="0" w:firstLine="422" w:firstLineChars="175"/>
              <w:jc w:val="center"/>
              <w:rPr>
                <w:rFonts w:hint="eastAsia" w:ascii="仿宋_GB2312" w:hAnsi="仿宋_GB2312" w:eastAsia="仿宋_GB2312" w:cs="仿宋_GB2312"/>
                <w:b/>
                <w:sz w:val="24"/>
                <w:szCs w:val="24"/>
              </w:rPr>
            </w:pPr>
          </w:p>
        </w:tc>
      </w:tr>
    </w:tbl>
    <w:p w14:paraId="45645ACE">
      <w:pPr>
        <w:pStyle w:val="11"/>
        <w:ind w:left="0" w:leftChars="0" w:firstLine="420" w:firstLineChars="175"/>
        <w:jc w:val="center"/>
        <w:rPr>
          <w:rFonts w:hint="eastAsia" w:ascii="仿宋_GB2312" w:hAnsi="仿宋_GB2312" w:eastAsia="仿宋_GB2312" w:cs="仿宋_GB2312"/>
          <w:sz w:val="24"/>
          <w:szCs w:val="24"/>
        </w:rPr>
      </w:pPr>
    </w:p>
    <w:p w14:paraId="2AA11F02">
      <w:pPr>
        <w:spacing w:line="360" w:lineRule="auto"/>
        <w:ind w:left="0" w:leftChars="0" w:firstLine="420" w:firstLineChars="175"/>
        <w:rPr>
          <w:rFonts w:hint="eastAsia" w:ascii="仿宋_GB2312" w:hAnsi="仿宋_GB2312" w:eastAsia="仿宋_GB2312" w:cs="仿宋_GB2312"/>
          <w:color w:val="000000"/>
          <w:sz w:val="24"/>
          <w:szCs w:val="24"/>
        </w:rPr>
      </w:pPr>
    </w:p>
    <w:p w14:paraId="1772E4E8">
      <w:pPr>
        <w:pStyle w:val="2"/>
        <w:ind w:left="0" w:leftChars="0" w:firstLine="422" w:firstLineChars="175"/>
        <w:jc w:val="left"/>
        <w:rPr>
          <w:rFonts w:hint="eastAsia" w:ascii="黑体" w:hAnsi="黑体" w:eastAsia="黑体" w:cs="黑体"/>
          <w:sz w:val="24"/>
          <w:szCs w:val="24"/>
        </w:rPr>
      </w:pPr>
      <w:r>
        <w:rPr>
          <w:rFonts w:hint="eastAsia" w:ascii="黑体" w:hAnsi="黑体" w:eastAsia="黑体" w:cs="黑体"/>
          <w:sz w:val="24"/>
          <w:szCs w:val="24"/>
          <w:lang w:val="en-US" w:eastAsia="zh-CN"/>
        </w:rPr>
        <w:t xml:space="preserve">第四章 </w:t>
      </w:r>
      <w:r>
        <w:rPr>
          <w:rFonts w:hint="eastAsia" w:ascii="黑体" w:hAnsi="黑体" w:eastAsia="黑体" w:cs="黑体"/>
          <w:sz w:val="24"/>
          <w:szCs w:val="24"/>
        </w:rPr>
        <w:t>运维</w:t>
      </w:r>
      <w:r>
        <w:rPr>
          <w:rFonts w:hint="eastAsia" w:ascii="黑体" w:hAnsi="黑体" w:eastAsia="黑体" w:cs="黑体"/>
          <w:sz w:val="24"/>
          <w:szCs w:val="24"/>
          <w:lang w:val="en-US" w:eastAsia="zh-CN"/>
        </w:rPr>
        <w:t>服务</w:t>
      </w:r>
      <w:r>
        <w:rPr>
          <w:rFonts w:hint="eastAsia" w:ascii="黑体" w:hAnsi="黑体" w:eastAsia="黑体" w:cs="黑体"/>
          <w:sz w:val="24"/>
          <w:szCs w:val="24"/>
        </w:rPr>
        <w:t>考核方案</w:t>
      </w:r>
    </w:p>
    <w:p w14:paraId="24EC1F60">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为规范运维服务公司的运维服务标准，确保运维服务的质量水平，本项目采用以下考核办法。</w:t>
      </w:r>
    </w:p>
    <w:p w14:paraId="29621055">
      <w:pPr>
        <w:spacing w:line="360" w:lineRule="auto"/>
        <w:ind w:left="0" w:leftChars="0" w:firstLine="422"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b/>
          <w:bCs/>
          <w:color w:val="000000"/>
          <w:sz w:val="24"/>
          <w:szCs w:val="24"/>
          <w:lang w:val="en-US" w:eastAsia="zh-CN"/>
        </w:rPr>
        <w:t>1、</w:t>
      </w:r>
      <w:r>
        <w:rPr>
          <w:rFonts w:hint="eastAsia" w:ascii="仿宋_GB2312" w:hAnsi="仿宋_GB2312" w:eastAsia="仿宋_GB2312" w:cs="仿宋_GB2312"/>
          <w:b/>
          <w:bCs/>
          <w:color w:val="000000"/>
          <w:sz w:val="24"/>
          <w:szCs w:val="24"/>
        </w:rPr>
        <w:t>运维服务考核指标</w:t>
      </w:r>
    </w:p>
    <w:tbl>
      <w:tblPr>
        <w:tblStyle w:val="6"/>
        <w:tblpPr w:leftFromText="180" w:rightFromText="180" w:vertAnchor="text" w:horzAnchor="page" w:tblpX="1922" w:tblpY="84"/>
        <w:tblOverlap w:val="never"/>
        <w:tblW w:w="8489" w:type="dxa"/>
        <w:tblInd w:w="0" w:type="dxa"/>
        <w:tblLayout w:type="fixed"/>
        <w:tblCellMar>
          <w:top w:w="0" w:type="dxa"/>
          <w:left w:w="108" w:type="dxa"/>
          <w:bottom w:w="0" w:type="dxa"/>
          <w:right w:w="108" w:type="dxa"/>
        </w:tblCellMar>
      </w:tblPr>
      <w:tblGrid>
        <w:gridCol w:w="1681"/>
        <w:gridCol w:w="721"/>
        <w:gridCol w:w="5395"/>
        <w:gridCol w:w="692"/>
      </w:tblGrid>
      <w:tr w14:paraId="441CE244">
        <w:trPr>
          <w:trHeight w:val="409" w:hRule="atLeast"/>
        </w:trPr>
        <w:tc>
          <w:tcPr>
            <w:tcW w:w="1681"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33628D2D">
            <w:pPr>
              <w:pageBreakBefore w:val="0"/>
              <w:widowControl/>
              <w:kinsoku/>
              <w:wordWrap/>
              <w:overflowPunct/>
              <w:topLinePunct w:val="0"/>
              <w:autoSpaceDE/>
              <w:autoSpaceDN/>
              <w:bidi w:val="0"/>
              <w:adjustRightInd/>
              <w:snapToGrid/>
              <w:spacing w:line="240" w:lineRule="auto"/>
              <w:ind w:left="0" w:leftChars="0" w:firstLine="367" w:firstLineChars="175"/>
              <w:jc w:val="both"/>
              <w:textAlignment w:val="auto"/>
              <w:rPr>
                <w:rFonts w:hint="eastAsia" w:ascii="仿宋_GB2312" w:hAnsi="仿宋_GB2312" w:eastAsia="仿宋_GB2312" w:cs="仿宋_GB2312"/>
                <w:b w:val="0"/>
                <w:bCs/>
                <w:color w:val="000000"/>
                <w:sz w:val="21"/>
                <w:szCs w:val="21"/>
                <w:lang w:eastAsia="zh-CN"/>
              </w:rPr>
            </w:pPr>
            <w:r>
              <w:rPr>
                <w:rFonts w:hint="eastAsia" w:ascii="仿宋_GB2312" w:hAnsi="仿宋_GB2312" w:eastAsia="仿宋_GB2312" w:cs="仿宋_GB2312"/>
                <w:b w:val="0"/>
                <w:bCs/>
                <w:color w:val="000000"/>
                <w:sz w:val="21"/>
                <w:szCs w:val="21"/>
                <w:lang w:val="en-US" w:eastAsia="zh-CN"/>
              </w:rPr>
              <w:t>指标</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DE3D5">
            <w:pPr>
              <w:pageBreakBefore w:val="0"/>
              <w:widowControl/>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标准分</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345CC">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扣分标准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A70FC">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得分</w:t>
            </w:r>
          </w:p>
        </w:tc>
      </w:tr>
      <w:tr w14:paraId="587A615E">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C0FA7">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维护响应时间</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BF01D">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lang w:val="en-US" w:eastAsia="zh-CN"/>
              </w:rPr>
              <w:t>10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18879">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val="en-US" w:eastAsia="zh-CN"/>
              </w:rPr>
            </w:pPr>
            <w:r>
              <w:rPr>
                <w:rFonts w:hint="eastAsia" w:ascii="仿宋_GB2312" w:hAnsi="仿宋_GB2312" w:eastAsia="仿宋_GB2312" w:cs="仿宋_GB2312"/>
                <w:b w:val="0"/>
                <w:color w:val="000000"/>
                <w:sz w:val="21"/>
                <w:szCs w:val="21"/>
              </w:rPr>
              <w:t>30分钟内到场：</w:t>
            </w:r>
            <w:r>
              <w:rPr>
                <w:rFonts w:hint="eastAsia" w:ascii="仿宋_GB2312" w:hAnsi="仿宋_GB2312" w:eastAsia="仿宋_GB2312" w:cs="仿宋_GB2312"/>
                <w:b w:val="0"/>
                <w:color w:val="000000"/>
                <w:sz w:val="21"/>
                <w:szCs w:val="21"/>
                <w:lang w:val="en-US" w:eastAsia="zh-CN"/>
              </w:rPr>
              <w:t>不扣分</w:t>
            </w:r>
          </w:p>
          <w:p w14:paraId="141A3444">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30分钟</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1小时内到场：每次扣</w:t>
            </w:r>
            <w:r>
              <w:rPr>
                <w:rFonts w:hint="eastAsia" w:ascii="仿宋_GB2312" w:hAnsi="仿宋_GB2312" w:eastAsia="仿宋_GB2312" w:cs="仿宋_GB2312"/>
                <w:b w:val="0"/>
                <w:color w:val="000000"/>
                <w:sz w:val="21"/>
                <w:szCs w:val="21"/>
                <w:lang w:val="en-US" w:eastAsia="zh-CN"/>
              </w:rPr>
              <w:t>0.5分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1</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2小时内到场：每次扣</w:t>
            </w:r>
            <w:r>
              <w:rPr>
                <w:rFonts w:hint="eastAsia" w:ascii="仿宋_GB2312" w:hAnsi="仿宋_GB2312" w:eastAsia="仿宋_GB2312" w:cs="仿宋_GB2312"/>
                <w:b w:val="0"/>
                <w:color w:val="000000"/>
                <w:sz w:val="21"/>
                <w:szCs w:val="21"/>
                <w:lang w:val="en-US" w:eastAsia="zh-CN"/>
              </w:rPr>
              <w:t>1分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超过2小时：每次扣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6EF8F">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1A0FD51A">
        <w:tblPrEx>
          <w:tblCellMar>
            <w:top w:w="0" w:type="dxa"/>
            <w:left w:w="108" w:type="dxa"/>
            <w:bottom w:w="0" w:type="dxa"/>
            <w:right w:w="108" w:type="dxa"/>
          </w:tblCellMar>
        </w:tblPrEx>
        <w:trPr>
          <w:trHeight w:val="441"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36CA7">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紧急现场响应时间</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94E4D4">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lang w:val="en-US" w:eastAsia="zh-CN"/>
              </w:rPr>
              <w:t>20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980CF">
            <w:pPr>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三级及以上事件未在1小时内到场：每次扣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83B2A">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4B336350">
        <w:tblPrEx>
          <w:tblCellMar>
            <w:top w:w="0" w:type="dxa"/>
            <w:left w:w="108" w:type="dxa"/>
            <w:bottom w:w="0" w:type="dxa"/>
            <w:right w:w="108" w:type="dxa"/>
          </w:tblCellMar>
        </w:tblPrEx>
        <w:trPr>
          <w:trHeight w:val="1737"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4F60A">
            <w:pPr>
              <w:keepNext/>
              <w:keepLines/>
              <w:pageBreakBefore w:val="0"/>
              <w:widowControl w:val="0"/>
              <w:kinsoku/>
              <w:wordWrap/>
              <w:overflowPunct/>
              <w:topLinePunct w:val="0"/>
              <w:autoSpaceDE/>
              <w:autoSpaceDN/>
              <w:bidi w:val="0"/>
              <w:adjustRightInd/>
              <w:snapToGrid/>
              <w:spacing w:before="200" w:after="0" w:line="240" w:lineRule="auto"/>
              <w:jc w:val="both"/>
              <w:textAlignment w:val="auto"/>
              <w:outlineLvl w:val="1"/>
              <w:rPr>
                <w:rFonts w:hint="eastAsia" w:ascii="仿宋_GB2312" w:hAnsi="仿宋_GB2312" w:eastAsia="仿宋_GB2312" w:cs="仿宋_GB2312"/>
                <w:b w:val="0"/>
                <w:bCs w:val="0"/>
                <w:color w:val="000000"/>
                <w:kern w:val="2"/>
                <w:sz w:val="21"/>
                <w:szCs w:val="21"/>
                <w:lang w:val="en-US" w:eastAsia="zh-CN" w:bidi="ar-SA"/>
              </w:rPr>
            </w:pPr>
            <w:r>
              <w:rPr>
                <w:rFonts w:hint="eastAsia" w:ascii="仿宋_GB2312" w:hAnsi="仿宋_GB2312" w:eastAsia="仿宋_GB2312" w:cs="仿宋_GB2312"/>
                <w:b w:val="0"/>
                <w:bCs w:val="0"/>
                <w:color w:val="000000"/>
                <w:kern w:val="2"/>
                <w:sz w:val="21"/>
                <w:szCs w:val="21"/>
                <w:lang w:val="en-US" w:eastAsia="zh-CN" w:bidi="ar-SA"/>
              </w:rPr>
              <w:t>重大保障期间的应急响应与保障措施</w:t>
            </w:r>
          </w:p>
          <w:p w14:paraId="6322E807">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B0D4A5">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lang w:val="en-US" w:eastAsia="zh-CN"/>
              </w:rPr>
              <w:t>10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21A8C">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val="en-US" w:eastAsia="zh-CN"/>
              </w:rPr>
            </w:pPr>
            <w:r>
              <w:rPr>
                <w:rFonts w:hint="eastAsia" w:ascii="仿宋_GB2312" w:hAnsi="仿宋_GB2312" w:eastAsia="仿宋_GB2312" w:cs="仿宋_GB2312"/>
                <w:b w:val="0"/>
                <w:color w:val="000000"/>
                <w:sz w:val="21"/>
                <w:szCs w:val="21"/>
              </w:rPr>
              <w:t>30分钟内</w:t>
            </w:r>
            <w:r>
              <w:rPr>
                <w:rFonts w:hint="eastAsia" w:ascii="仿宋_GB2312" w:hAnsi="仿宋_GB2312" w:eastAsia="仿宋_GB2312" w:cs="仿宋_GB2312"/>
                <w:b w:val="0"/>
                <w:color w:val="000000"/>
                <w:sz w:val="21"/>
                <w:szCs w:val="21"/>
                <w:lang w:val="en-US" w:eastAsia="zh-CN"/>
              </w:rPr>
              <w:t>未</w:t>
            </w:r>
            <w:r>
              <w:rPr>
                <w:rFonts w:hint="eastAsia" w:ascii="仿宋_GB2312" w:hAnsi="仿宋_GB2312" w:eastAsia="仿宋_GB2312" w:cs="仿宋_GB2312"/>
                <w:b w:val="0"/>
                <w:color w:val="000000"/>
                <w:sz w:val="21"/>
                <w:szCs w:val="21"/>
              </w:rPr>
              <w:t>到场：每次扣</w:t>
            </w:r>
            <w:r>
              <w:rPr>
                <w:rFonts w:hint="eastAsia" w:ascii="仿宋_GB2312" w:hAnsi="仿宋_GB2312" w:eastAsia="仿宋_GB2312" w:cs="仿宋_GB2312"/>
                <w:b w:val="0"/>
                <w:color w:val="000000"/>
                <w:sz w:val="21"/>
                <w:szCs w:val="21"/>
                <w:lang w:val="en-US" w:eastAsia="zh-CN"/>
              </w:rPr>
              <w:t>2分</w:t>
            </w:r>
          </w:p>
          <w:p w14:paraId="67F80733">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措施执行不力：每次扣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关键措施缺失：每次扣</w:t>
            </w:r>
            <w:r>
              <w:rPr>
                <w:rFonts w:hint="eastAsia" w:ascii="仿宋_GB2312" w:hAnsi="仿宋_GB2312" w:eastAsia="仿宋_GB2312" w:cs="仿宋_GB2312"/>
                <w:b w:val="0"/>
                <w:color w:val="000000"/>
                <w:sz w:val="21"/>
                <w:szCs w:val="21"/>
                <w:lang w:val="en-US" w:eastAsia="zh-CN"/>
              </w:rPr>
              <w:t>1.5</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未采取措施：每次扣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7C40C">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62706A46">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474AD">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事件识别与报告</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A503D">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kern w:val="2"/>
                <w:sz w:val="21"/>
                <w:szCs w:val="21"/>
                <w:lang w:val="en-US" w:eastAsia="zh-CN" w:bidi="ar-SA"/>
              </w:rPr>
              <w:t>5</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4228B">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未及时识别（超过1小时）：每次扣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报告不完整：每次扣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无报告：每次扣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007BA5">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6E9E5942">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80B9C1">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事件分级与响应</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F1317">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kern w:val="2"/>
                <w:sz w:val="21"/>
                <w:szCs w:val="21"/>
                <w:lang w:val="en-US" w:eastAsia="zh-CN" w:bidi="ar-SA"/>
              </w:rPr>
              <w:t>5</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43CA5">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分级错误：每次扣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响应延迟（超过2小时）：每次扣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未响应：每次扣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9C671">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6D9A7065">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F07CD">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事后总结与改进</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98C4C">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lang w:val="en-US" w:eastAsia="zh-CN"/>
              </w:rPr>
              <w:t>20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A7271">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总结不完整：每次扣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无改进措施：每次扣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无总结报告：每次扣</w:t>
            </w:r>
            <w:r>
              <w:rPr>
                <w:rFonts w:hint="eastAsia" w:ascii="仿宋_GB2312" w:hAnsi="仿宋_GB2312" w:eastAsia="仿宋_GB2312" w:cs="仿宋_GB2312"/>
                <w:b w:val="0"/>
                <w:color w:val="000000"/>
                <w:sz w:val="21"/>
                <w:szCs w:val="21"/>
                <w:lang w:val="en-US" w:eastAsia="zh-CN"/>
              </w:rPr>
              <w:t>3</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A9290">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591BE020">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FA6D20">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color w:val="000000"/>
                <w:sz w:val="21"/>
                <w:szCs w:val="21"/>
              </w:rPr>
              <w:t>巡检报告</w:t>
            </w:r>
          </w:p>
        </w:tc>
        <w:tc>
          <w:tcPr>
            <w:tcW w:w="7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65BA8B">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color w:val="000000"/>
                <w:sz w:val="21"/>
                <w:szCs w:val="21"/>
                <w:lang w:val="en-US" w:eastAsia="zh-CN"/>
              </w:rPr>
              <w:t>10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F3DE6">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eastAsia="zh-CN"/>
              </w:rPr>
            </w:pPr>
            <w:r>
              <w:rPr>
                <w:rFonts w:hint="eastAsia" w:ascii="仿宋_GB2312" w:hAnsi="仿宋_GB2312" w:eastAsia="仿宋_GB2312" w:cs="仿宋_GB2312"/>
                <w:b w:val="0"/>
                <w:color w:val="000000"/>
                <w:sz w:val="21"/>
                <w:szCs w:val="21"/>
              </w:rPr>
              <w:t>无法提交</w:t>
            </w:r>
            <w:r>
              <w:rPr>
                <w:rFonts w:hint="eastAsia" w:ascii="仿宋_GB2312" w:hAnsi="仿宋_GB2312" w:eastAsia="仿宋_GB2312" w:cs="仿宋_GB2312"/>
                <w:b w:val="0"/>
                <w:color w:val="000000"/>
                <w:sz w:val="21"/>
                <w:szCs w:val="21"/>
                <w:lang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p w14:paraId="6888F7CE">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不符合要求</w:t>
            </w:r>
            <w:r>
              <w:rPr>
                <w:rFonts w:hint="eastAsia" w:ascii="仿宋_GB2312" w:hAnsi="仿宋_GB2312" w:eastAsia="仿宋_GB2312" w:cs="仿宋_GB2312"/>
                <w:b w:val="0"/>
                <w:color w:val="000000"/>
                <w:sz w:val="21"/>
                <w:szCs w:val="21"/>
                <w:lang w:eastAsia="zh-CN"/>
              </w:rPr>
              <w:t>：</w:t>
            </w:r>
            <w:r>
              <w:rPr>
                <w:rFonts w:hint="eastAsia" w:ascii="仿宋_GB2312" w:hAnsi="仿宋_GB2312" w:eastAsia="仿宋_GB2312" w:cs="仿宋_GB2312"/>
                <w:b w:val="0"/>
                <w:color w:val="000000"/>
                <w:sz w:val="21"/>
                <w:szCs w:val="21"/>
              </w:rPr>
              <w:t>每次扣1分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8DF76B">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sz w:val="21"/>
                <w:szCs w:val="21"/>
              </w:rPr>
            </w:pPr>
          </w:p>
        </w:tc>
      </w:tr>
      <w:tr w14:paraId="60140166">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0BBD35">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rPr>
              <w:t>巡检清单</w:t>
            </w:r>
          </w:p>
        </w:tc>
        <w:tc>
          <w:tcPr>
            <w:tcW w:w="7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F7E36">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lang w:val="en-US" w:eastAsia="zh-CN"/>
              </w:rPr>
              <w:t>10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F02636">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eastAsia="zh-CN"/>
              </w:rPr>
            </w:pPr>
            <w:r>
              <w:rPr>
                <w:rFonts w:hint="eastAsia" w:ascii="仿宋_GB2312" w:hAnsi="仿宋_GB2312" w:eastAsia="仿宋_GB2312" w:cs="仿宋_GB2312"/>
                <w:b w:val="0"/>
                <w:color w:val="000000"/>
                <w:sz w:val="21"/>
                <w:szCs w:val="21"/>
              </w:rPr>
              <w:t>无法提交</w:t>
            </w:r>
            <w:r>
              <w:rPr>
                <w:rFonts w:hint="eastAsia" w:ascii="仿宋_GB2312" w:hAnsi="仿宋_GB2312" w:eastAsia="仿宋_GB2312" w:cs="仿宋_GB2312"/>
                <w:b w:val="0"/>
                <w:color w:val="000000"/>
                <w:sz w:val="21"/>
                <w:szCs w:val="21"/>
                <w:lang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p w14:paraId="4F44B3EB">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rPr>
              <w:t>不符合要求</w:t>
            </w:r>
            <w:r>
              <w:rPr>
                <w:rFonts w:hint="eastAsia" w:ascii="仿宋_GB2312" w:hAnsi="仿宋_GB2312" w:eastAsia="仿宋_GB2312" w:cs="仿宋_GB2312"/>
                <w:b w:val="0"/>
                <w:color w:val="000000"/>
                <w:sz w:val="21"/>
                <w:szCs w:val="21"/>
                <w:lang w:eastAsia="zh-CN"/>
              </w:rPr>
              <w:t>：</w:t>
            </w:r>
            <w:r>
              <w:rPr>
                <w:rFonts w:hint="eastAsia" w:ascii="仿宋_GB2312" w:hAnsi="仿宋_GB2312" w:eastAsia="仿宋_GB2312" w:cs="仿宋_GB2312"/>
                <w:b w:val="0"/>
                <w:color w:val="000000"/>
                <w:sz w:val="21"/>
                <w:szCs w:val="21"/>
              </w:rPr>
              <w:t>每次扣1分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6FEFE">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kern w:val="2"/>
                <w:sz w:val="21"/>
                <w:szCs w:val="21"/>
                <w:lang w:val="en-US" w:eastAsia="zh-CN" w:bidi="ar-SA"/>
              </w:rPr>
            </w:pPr>
          </w:p>
        </w:tc>
      </w:tr>
      <w:tr w14:paraId="1993D671">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C974E">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rPr>
              <w:t>运维工程师工作情况</w:t>
            </w:r>
          </w:p>
        </w:tc>
        <w:tc>
          <w:tcPr>
            <w:tcW w:w="7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E22688">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E2E89">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val="en-US" w:eastAsia="zh-CN"/>
              </w:rPr>
            </w:pPr>
            <w:r>
              <w:rPr>
                <w:rFonts w:hint="eastAsia" w:ascii="仿宋_GB2312" w:hAnsi="仿宋_GB2312" w:eastAsia="仿宋_GB2312" w:cs="仿宋_GB2312"/>
                <w:b w:val="0"/>
                <w:color w:val="000000"/>
                <w:sz w:val="21"/>
                <w:szCs w:val="21"/>
                <w:lang w:val="en-US" w:eastAsia="en-US"/>
              </w:rPr>
              <w:t>一般操作失误</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1.5</w:t>
            </w:r>
            <w:r>
              <w:rPr>
                <w:rFonts w:hint="eastAsia" w:ascii="仿宋_GB2312" w:hAnsi="仿宋_GB2312" w:eastAsia="仿宋_GB2312" w:cs="仿宋_GB2312"/>
                <w:b w:val="0"/>
                <w:color w:val="000000"/>
                <w:sz w:val="21"/>
                <w:szCs w:val="21"/>
              </w:rPr>
              <w:t>分</w:t>
            </w:r>
          </w:p>
          <w:p w14:paraId="1B98E489">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val="en-US" w:eastAsia="en-US"/>
              </w:rPr>
            </w:pPr>
            <w:r>
              <w:rPr>
                <w:rFonts w:hint="eastAsia" w:ascii="仿宋_GB2312" w:hAnsi="仿宋_GB2312" w:eastAsia="仿宋_GB2312" w:cs="仿宋_GB2312"/>
                <w:b w:val="0"/>
                <w:color w:val="000000"/>
                <w:sz w:val="21"/>
                <w:szCs w:val="21"/>
                <w:lang w:val="en-US" w:eastAsia="en-US"/>
              </w:rPr>
              <w:t>严重操作失误</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3</w:t>
            </w:r>
            <w:r>
              <w:rPr>
                <w:rFonts w:hint="eastAsia" w:ascii="仿宋_GB2312" w:hAnsi="仿宋_GB2312" w:eastAsia="仿宋_GB2312" w:cs="仿宋_GB2312"/>
                <w:b w:val="0"/>
                <w:color w:val="000000"/>
                <w:sz w:val="21"/>
                <w:szCs w:val="21"/>
              </w:rPr>
              <w:t>分</w:t>
            </w:r>
          </w:p>
          <w:p w14:paraId="4DDC1914">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kern w:val="0"/>
                <w:sz w:val="21"/>
                <w:szCs w:val="21"/>
                <w:lang w:val="en-US" w:eastAsia="zh-CN" w:bidi="ar-SA"/>
              </w:rPr>
            </w:pPr>
            <w:r>
              <w:rPr>
                <w:rFonts w:hint="eastAsia" w:ascii="仿宋_GB2312" w:hAnsi="仿宋_GB2312" w:eastAsia="仿宋_GB2312" w:cs="仿宋_GB2312"/>
                <w:b w:val="0"/>
                <w:color w:val="000000"/>
                <w:sz w:val="21"/>
                <w:szCs w:val="21"/>
                <w:lang w:val="en-US" w:eastAsia="en-US"/>
              </w:rPr>
              <w:t>未按操作规范执行</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182B25">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kern w:val="2"/>
                <w:sz w:val="21"/>
                <w:szCs w:val="21"/>
                <w:lang w:val="en-US" w:eastAsia="zh-CN" w:bidi="ar-SA"/>
              </w:rPr>
            </w:pPr>
          </w:p>
        </w:tc>
      </w:tr>
      <w:tr w14:paraId="60EC5108">
        <w:tblPrEx>
          <w:tblCellMar>
            <w:top w:w="0" w:type="dxa"/>
            <w:left w:w="108" w:type="dxa"/>
            <w:bottom w:w="0" w:type="dxa"/>
            <w:right w:w="108" w:type="dxa"/>
          </w:tblCellMar>
        </w:tblPrEx>
        <w:trPr>
          <w:trHeight w:val="318" w:hRule="atLeast"/>
        </w:trPr>
        <w:tc>
          <w:tcPr>
            <w:tcW w:w="1681"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412033D5">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kern w:val="2"/>
                <w:sz w:val="21"/>
                <w:szCs w:val="21"/>
                <w:lang w:val="en-US" w:eastAsia="zh-CN" w:bidi="ar-SA"/>
              </w:rPr>
            </w:pPr>
            <w:r>
              <w:rPr>
                <w:rFonts w:hint="eastAsia" w:ascii="仿宋_GB2312" w:hAnsi="仿宋_GB2312" w:eastAsia="仿宋_GB2312" w:cs="仿宋_GB2312"/>
                <w:b w:val="0"/>
                <w:bCs/>
                <w:color w:val="000000"/>
                <w:sz w:val="21"/>
                <w:szCs w:val="21"/>
              </w:rPr>
              <w:t>考核总分</w:t>
            </w:r>
          </w:p>
        </w:tc>
        <w:tc>
          <w:tcPr>
            <w:tcW w:w="6116" w:type="dxa"/>
            <w:gridSpan w:val="2"/>
            <w:tcBorders>
              <w:top w:val="single" w:color="000000" w:sz="4" w:space="0"/>
              <w:left w:val="single" w:color="000000" w:sz="4" w:space="0"/>
              <w:bottom w:val="single" w:color="auto" w:sz="4" w:space="0"/>
              <w:right w:val="single" w:color="000000" w:sz="4" w:space="0"/>
            </w:tcBorders>
            <w:shd w:val="clear" w:color="auto" w:fill="FFFFFF"/>
            <w:noWrap/>
            <w:vAlign w:val="center"/>
          </w:tcPr>
          <w:p w14:paraId="21D23C75">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kern w:val="2"/>
                <w:sz w:val="21"/>
                <w:szCs w:val="21"/>
                <w:lang w:val="en-US" w:eastAsia="zh-CN" w:bidi="ar-SA"/>
              </w:rPr>
            </w:pPr>
            <w:r>
              <w:rPr>
                <w:rFonts w:hint="eastAsia" w:ascii="仿宋_GB2312" w:hAnsi="仿宋_GB2312" w:eastAsia="仿宋_GB2312" w:cs="仿宋_GB2312"/>
                <w:b w:val="0"/>
                <w:bCs/>
                <w:color w:val="000000"/>
                <w:sz w:val="21"/>
                <w:szCs w:val="21"/>
                <w:lang w:val="en-US" w:eastAsia="zh-CN"/>
              </w:rPr>
              <w:t>100分</w:t>
            </w:r>
          </w:p>
        </w:tc>
        <w:tc>
          <w:tcPr>
            <w:tcW w:w="692"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60F5872F">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kern w:val="2"/>
                <w:sz w:val="21"/>
                <w:szCs w:val="21"/>
                <w:lang w:val="en-US" w:eastAsia="zh-CN" w:bidi="ar-SA"/>
              </w:rPr>
            </w:pPr>
          </w:p>
        </w:tc>
      </w:tr>
      <w:tr w14:paraId="6180DDF2">
        <w:tblPrEx>
          <w:tblCellMar>
            <w:top w:w="0" w:type="dxa"/>
            <w:left w:w="108" w:type="dxa"/>
            <w:bottom w:w="0" w:type="dxa"/>
            <w:right w:w="108" w:type="dxa"/>
          </w:tblCellMar>
        </w:tblPrEx>
        <w:trPr>
          <w:trHeight w:val="189" w:hRule="atLeast"/>
        </w:trPr>
        <w:tc>
          <w:tcPr>
            <w:tcW w:w="1681"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16B515F4">
            <w:pPr>
              <w:pageBreakBefore w:val="0"/>
              <w:widowControl/>
              <w:kinsoku/>
              <w:wordWrap/>
              <w:overflowPunct/>
              <w:topLinePunct w:val="0"/>
              <w:autoSpaceDE/>
              <w:autoSpaceDN/>
              <w:bidi w:val="0"/>
              <w:adjustRightInd/>
              <w:snapToGrid/>
              <w:spacing w:line="240" w:lineRule="auto"/>
              <w:jc w:val="both"/>
              <w:textAlignment w:val="auto"/>
              <w:rPr>
                <w:rFonts w:hint="default" w:ascii="仿宋_GB2312" w:hAnsi="仿宋_GB2312" w:eastAsia="仿宋_GB2312" w:cs="仿宋_GB2312"/>
                <w:b w:val="0"/>
                <w:bCs/>
                <w:color w:val="000000"/>
                <w:sz w:val="21"/>
                <w:szCs w:val="21"/>
                <w:lang w:val="en-US" w:eastAsia="zh-CN"/>
              </w:rPr>
            </w:pPr>
            <w:r>
              <w:rPr>
                <w:rFonts w:hint="eastAsia" w:ascii="仿宋_GB2312" w:hAnsi="仿宋_GB2312" w:eastAsia="仿宋_GB2312" w:cs="仿宋_GB2312"/>
                <w:b w:val="0"/>
                <w:bCs/>
                <w:color w:val="000000"/>
                <w:sz w:val="21"/>
                <w:szCs w:val="21"/>
                <w:lang w:val="en-US" w:eastAsia="zh-CN"/>
              </w:rPr>
              <w:t>考核等级</w:t>
            </w:r>
          </w:p>
        </w:tc>
        <w:tc>
          <w:tcPr>
            <w:tcW w:w="6808" w:type="dxa"/>
            <w:gridSpan w:val="3"/>
            <w:tcBorders>
              <w:top w:val="single" w:color="auto" w:sz="4" w:space="0"/>
              <w:left w:val="single" w:color="000000" w:sz="4" w:space="0"/>
              <w:bottom w:val="single" w:color="000000" w:sz="4" w:space="0"/>
              <w:right w:val="single" w:color="000000" w:sz="4" w:space="0"/>
            </w:tcBorders>
            <w:shd w:val="clear" w:color="auto" w:fill="FFFFFF"/>
            <w:noWrap/>
            <w:vAlign w:val="center"/>
          </w:tcPr>
          <w:p w14:paraId="6041FEC7">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kern w:val="2"/>
                <w:sz w:val="21"/>
                <w:szCs w:val="21"/>
                <w:lang w:val="en-US" w:eastAsia="zh-CN" w:bidi="ar-SA"/>
              </w:rPr>
            </w:pPr>
            <w:r>
              <w:rPr>
                <w:rFonts w:hint="eastAsia" w:ascii="仿宋_GB2312" w:hAnsi="仿宋_GB2312" w:eastAsia="仿宋_GB2312" w:cs="仿宋_GB2312"/>
                <w:b w:val="0"/>
                <w:bCs/>
                <w:color w:val="000000"/>
                <w:kern w:val="2"/>
                <w:sz w:val="21"/>
                <w:szCs w:val="21"/>
                <w:lang w:val="en-US" w:eastAsia="zh-CN" w:bidi="ar-SA"/>
              </w:rPr>
              <w:t>优秀 □ 良好 □ 合格 □ 不合格 □（90分以上为优秀，75-90分为良好，60-75分为合格，60分以下为不合格）</w:t>
            </w:r>
          </w:p>
        </w:tc>
      </w:tr>
    </w:tbl>
    <w:p w14:paraId="35794A1D">
      <w:pPr>
        <w:widowControl/>
        <w:spacing w:line="360" w:lineRule="auto"/>
        <w:ind w:left="0" w:leftChars="0" w:firstLine="420" w:firstLineChars="175"/>
        <w:jc w:val="left"/>
        <w:rPr>
          <w:rFonts w:hint="eastAsia" w:ascii="仿宋_GB2312" w:hAnsi="仿宋_GB2312" w:eastAsia="仿宋_GB2312" w:cs="仿宋_GB2312"/>
          <w:color w:val="000000"/>
          <w:sz w:val="24"/>
          <w:szCs w:val="24"/>
        </w:rPr>
      </w:pPr>
    </w:p>
    <w:p w14:paraId="6E35E115">
      <w:pPr>
        <w:widowControl/>
        <w:spacing w:line="360" w:lineRule="auto"/>
        <w:ind w:left="0" w:leftChars="0" w:firstLine="422" w:firstLineChars="175"/>
        <w:jc w:val="left"/>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lang w:val="en-US" w:eastAsia="zh-CN"/>
        </w:rPr>
        <w:t>2、</w:t>
      </w:r>
      <w:r>
        <w:rPr>
          <w:rFonts w:hint="eastAsia" w:ascii="仿宋_GB2312" w:hAnsi="仿宋_GB2312" w:eastAsia="仿宋_GB2312" w:cs="仿宋_GB2312"/>
          <w:b/>
          <w:bCs/>
          <w:color w:val="000000"/>
          <w:kern w:val="0"/>
          <w:sz w:val="24"/>
          <w:szCs w:val="24"/>
        </w:rPr>
        <w:t>故障解决时间（ SLA）</w:t>
      </w:r>
    </w:p>
    <w:tbl>
      <w:tblPr>
        <w:tblStyle w:val="6"/>
        <w:tblW w:w="0" w:type="auto"/>
        <w:tblInd w:w="22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904"/>
        <w:gridCol w:w="2619"/>
        <w:gridCol w:w="1731"/>
      </w:tblGrid>
      <w:tr w14:paraId="1F8CA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904" w:type="dxa"/>
            <w:tcBorders>
              <w:top w:val="single" w:color="000000" w:sz="12" w:space="0"/>
              <w:left w:val="nil"/>
              <w:bottom w:val="single" w:color="000000" w:sz="4" w:space="0"/>
              <w:right w:val="nil"/>
              <w:tl2br w:val="nil"/>
            </w:tcBorders>
            <w:shd w:val="clear" w:color="auto" w:fill="FFFFFF"/>
            <w:vAlign w:val="center"/>
          </w:tcPr>
          <w:p w14:paraId="1A22B82C">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故障级别</w:t>
            </w:r>
          </w:p>
        </w:tc>
        <w:tc>
          <w:tcPr>
            <w:tcW w:w="2619" w:type="dxa"/>
            <w:tcBorders>
              <w:top w:val="single" w:color="000000" w:sz="12" w:space="0"/>
              <w:left w:val="nil"/>
              <w:bottom w:val="single" w:color="000000" w:sz="4" w:space="0"/>
              <w:right w:val="nil"/>
            </w:tcBorders>
            <w:shd w:val="clear" w:color="auto" w:fill="FFFFFF"/>
            <w:vAlign w:val="center"/>
          </w:tcPr>
          <w:p w14:paraId="3DDC5A67">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响应时间</w:t>
            </w:r>
          </w:p>
        </w:tc>
        <w:tc>
          <w:tcPr>
            <w:tcW w:w="1731" w:type="dxa"/>
            <w:tcBorders>
              <w:top w:val="single" w:color="000000" w:sz="12" w:space="0"/>
              <w:left w:val="nil"/>
              <w:bottom w:val="single" w:color="000000" w:sz="4" w:space="0"/>
              <w:right w:val="nil"/>
            </w:tcBorders>
            <w:shd w:val="clear" w:color="auto" w:fill="FFFFFF"/>
            <w:vAlign w:val="center"/>
          </w:tcPr>
          <w:p w14:paraId="68296C08">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故障解决时间</w:t>
            </w:r>
          </w:p>
        </w:tc>
      </w:tr>
      <w:tr w14:paraId="46B30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904" w:type="dxa"/>
            <w:tcBorders>
              <w:top w:val="single" w:color="000000" w:sz="4" w:space="0"/>
              <w:left w:val="nil"/>
              <w:bottom w:val="nil"/>
              <w:right w:val="nil"/>
            </w:tcBorders>
            <w:shd w:val="clear" w:color="auto" w:fill="FFFFFF"/>
            <w:vAlign w:val="center"/>
          </w:tcPr>
          <w:p w14:paraId="4AA206ED">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I 级：属于紧急问题；其具体现象为：系统崩溃导致业务停止、数据丢失。</w:t>
            </w:r>
          </w:p>
        </w:tc>
        <w:tc>
          <w:tcPr>
            <w:tcW w:w="2619" w:type="dxa"/>
            <w:tcBorders>
              <w:top w:val="single" w:color="000000" w:sz="4" w:space="0"/>
              <w:left w:val="nil"/>
              <w:bottom w:val="nil"/>
              <w:right w:val="nil"/>
            </w:tcBorders>
            <w:shd w:val="clear" w:color="auto" w:fill="FFFFFF"/>
            <w:vAlign w:val="center"/>
          </w:tcPr>
          <w:p w14:paraId="41F66DFF">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10 分钟内响应， 60 分钟内提交故障处理方案</w:t>
            </w:r>
          </w:p>
        </w:tc>
        <w:tc>
          <w:tcPr>
            <w:tcW w:w="1731" w:type="dxa"/>
            <w:tcBorders>
              <w:top w:val="single" w:color="000000" w:sz="4" w:space="0"/>
              <w:left w:val="nil"/>
              <w:bottom w:val="nil"/>
              <w:right w:val="nil"/>
            </w:tcBorders>
            <w:shd w:val="clear" w:color="auto" w:fill="FFFFFF"/>
            <w:vAlign w:val="center"/>
          </w:tcPr>
          <w:p w14:paraId="74121695">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6小时以内</w:t>
            </w:r>
          </w:p>
        </w:tc>
      </w:tr>
      <w:tr w14:paraId="61F60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8" w:hRule="atLeast"/>
        </w:trPr>
        <w:tc>
          <w:tcPr>
            <w:tcW w:w="3904" w:type="dxa"/>
            <w:tcBorders>
              <w:top w:val="nil"/>
              <w:left w:val="nil"/>
              <w:bottom w:val="nil"/>
              <w:right w:val="nil"/>
            </w:tcBorders>
            <w:shd w:val="clear" w:color="auto" w:fill="FFFFFF"/>
            <w:vAlign w:val="center"/>
          </w:tcPr>
          <w:p w14:paraId="72FC581D">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II 级：属于严重问题； 其具体现象为： 出现部分部件失效、系统性能下降但能正常运行，不影响正常业务运作。</w:t>
            </w:r>
          </w:p>
        </w:tc>
        <w:tc>
          <w:tcPr>
            <w:tcW w:w="2619" w:type="dxa"/>
            <w:tcBorders>
              <w:top w:val="nil"/>
              <w:left w:val="nil"/>
              <w:bottom w:val="nil"/>
              <w:right w:val="nil"/>
            </w:tcBorders>
            <w:shd w:val="clear" w:color="auto" w:fill="FFFFFF"/>
            <w:vAlign w:val="center"/>
          </w:tcPr>
          <w:p w14:paraId="5E47E27A">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30 分钟内响应， 2 个小时内提交故障处理方案</w:t>
            </w:r>
          </w:p>
        </w:tc>
        <w:tc>
          <w:tcPr>
            <w:tcW w:w="1731" w:type="dxa"/>
            <w:tcBorders>
              <w:top w:val="nil"/>
              <w:left w:val="nil"/>
              <w:bottom w:val="nil"/>
              <w:right w:val="nil"/>
            </w:tcBorders>
            <w:shd w:val="clear" w:color="auto" w:fill="FFFFFF"/>
            <w:vAlign w:val="center"/>
          </w:tcPr>
          <w:p w14:paraId="00376D16">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12小时以内</w:t>
            </w:r>
          </w:p>
        </w:tc>
      </w:tr>
      <w:tr w14:paraId="0948D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904" w:type="dxa"/>
            <w:tcBorders>
              <w:top w:val="nil"/>
              <w:left w:val="nil"/>
              <w:bottom w:val="nil"/>
              <w:right w:val="nil"/>
            </w:tcBorders>
            <w:shd w:val="clear" w:color="auto" w:fill="FFFFFF"/>
            <w:vAlign w:val="center"/>
          </w:tcPr>
          <w:p w14:paraId="2CB5A64F">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III 级：属于较严重问题；其具体现象为：出现系统报错或警告但业务系统能继续运行且性能不受影响。</w:t>
            </w:r>
          </w:p>
        </w:tc>
        <w:tc>
          <w:tcPr>
            <w:tcW w:w="2619" w:type="dxa"/>
            <w:tcBorders>
              <w:top w:val="nil"/>
              <w:left w:val="nil"/>
              <w:bottom w:val="nil"/>
              <w:right w:val="nil"/>
            </w:tcBorders>
            <w:shd w:val="clear" w:color="auto" w:fill="FFFFFF"/>
            <w:vAlign w:val="center"/>
          </w:tcPr>
          <w:p w14:paraId="7F1067EF">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30 分钟内响应， 4 个小时内提交故障处理方案</w:t>
            </w:r>
          </w:p>
        </w:tc>
        <w:tc>
          <w:tcPr>
            <w:tcW w:w="1731" w:type="dxa"/>
            <w:tcBorders>
              <w:top w:val="nil"/>
              <w:left w:val="nil"/>
              <w:bottom w:val="nil"/>
              <w:right w:val="nil"/>
            </w:tcBorders>
            <w:shd w:val="clear" w:color="auto" w:fill="FFFFFF"/>
            <w:vAlign w:val="center"/>
          </w:tcPr>
          <w:p w14:paraId="7A4ADDA6">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24小时以内</w:t>
            </w:r>
          </w:p>
        </w:tc>
      </w:tr>
      <w:tr w14:paraId="0B744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904" w:type="dxa"/>
            <w:tcBorders>
              <w:top w:val="nil"/>
              <w:left w:val="nil"/>
              <w:bottom w:val="single" w:color="000000" w:sz="12" w:space="0"/>
              <w:right w:val="nil"/>
            </w:tcBorders>
            <w:shd w:val="clear" w:color="auto" w:fill="FFFFFF"/>
            <w:vAlign w:val="center"/>
          </w:tcPr>
          <w:p w14:paraId="37231653">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IV 级：属于普通问题； 其具体现象为： 系统技术功能、安装或配置咨询，或其他显然不影响业务的预约服务。</w:t>
            </w:r>
          </w:p>
        </w:tc>
        <w:tc>
          <w:tcPr>
            <w:tcW w:w="2619" w:type="dxa"/>
            <w:tcBorders>
              <w:top w:val="nil"/>
              <w:left w:val="nil"/>
              <w:bottom w:val="single" w:color="000000" w:sz="12" w:space="0"/>
              <w:right w:val="nil"/>
            </w:tcBorders>
            <w:shd w:val="clear" w:color="auto" w:fill="FFFFFF"/>
            <w:vAlign w:val="center"/>
          </w:tcPr>
          <w:p w14:paraId="07954C00">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30 分钟内响应， 6 小时内提交故障处理方案</w:t>
            </w:r>
          </w:p>
        </w:tc>
        <w:tc>
          <w:tcPr>
            <w:tcW w:w="1731" w:type="dxa"/>
            <w:tcBorders>
              <w:top w:val="nil"/>
              <w:left w:val="nil"/>
              <w:bottom w:val="single" w:color="000000" w:sz="12" w:space="0"/>
              <w:right w:val="nil"/>
            </w:tcBorders>
            <w:shd w:val="clear" w:color="auto" w:fill="FFFFFF"/>
            <w:vAlign w:val="center"/>
          </w:tcPr>
          <w:p w14:paraId="292C1306">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48小时以内</w:t>
            </w:r>
          </w:p>
        </w:tc>
      </w:tr>
    </w:tbl>
    <w:p w14:paraId="0EA6114C">
      <w:pPr>
        <w:spacing w:line="360" w:lineRule="auto"/>
        <w:ind w:left="0" w:leftChars="0" w:firstLine="422" w:firstLineChars="175"/>
        <w:rPr>
          <w:rFonts w:hint="eastAsia" w:ascii="仿宋_GB2312" w:hAnsi="仿宋_GB2312" w:eastAsia="仿宋_GB2312" w:cs="仿宋_GB2312"/>
          <w:b/>
          <w:bCs/>
          <w:color w:val="000000"/>
          <w:sz w:val="24"/>
          <w:szCs w:val="24"/>
          <w:lang w:val="en-US" w:eastAsia="zh-CN"/>
        </w:rPr>
      </w:pPr>
    </w:p>
    <w:p w14:paraId="3641CEC4">
      <w:pPr>
        <w:spacing w:line="360" w:lineRule="auto"/>
        <w:ind w:left="0" w:leftChars="0" w:firstLine="422" w:firstLineChars="175"/>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lang w:val="en-US" w:eastAsia="zh-CN"/>
        </w:rPr>
        <w:t>3、</w:t>
      </w:r>
      <w:r>
        <w:rPr>
          <w:rFonts w:hint="eastAsia" w:ascii="仿宋_GB2312" w:hAnsi="仿宋_GB2312" w:eastAsia="仿宋_GB2312" w:cs="仿宋_GB2312"/>
          <w:b/>
          <w:bCs/>
          <w:color w:val="000000"/>
          <w:sz w:val="24"/>
          <w:szCs w:val="24"/>
        </w:rPr>
        <w:t>考核方式：</w:t>
      </w:r>
    </w:p>
    <w:p w14:paraId="724008CD">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（1）以半年为单位，每年进行2次考核；</w:t>
      </w:r>
    </w:p>
    <w:p w14:paraId="348E4D47">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（2）按照考核指标进行打分，同时考核结果作为续签的重要条件。</w:t>
      </w:r>
    </w:p>
    <w:p w14:paraId="006ABBBD">
      <w:pPr>
        <w:spacing w:line="360" w:lineRule="auto"/>
        <w:ind w:left="0" w:leftChars="0" w:firstLine="420" w:firstLineChars="175"/>
        <w:rPr>
          <w:rFonts w:hint="eastAsia" w:ascii="仿宋_GB2312" w:hAnsi="仿宋_GB2312" w:eastAsia="仿宋_GB2312" w:cs="仿宋_GB2312"/>
          <w:color w:val="000000"/>
          <w:sz w:val="24"/>
          <w:szCs w:val="24"/>
        </w:rPr>
      </w:pPr>
    </w:p>
    <w:p w14:paraId="03736FC9">
      <w:pPr>
        <w:spacing w:line="360" w:lineRule="auto"/>
        <w:ind w:left="0" w:leftChars="0" w:firstLine="420" w:firstLineChars="175"/>
        <w:jc w:val="left"/>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第五章 评审方法和标准</w:t>
      </w:r>
    </w:p>
    <w:p w14:paraId="3807B35F">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本项目采用综合评分方法（满分100分）。磋商小组各成员应当独立对每个有效响应的文件进行评价、打分，然后汇总平均每个供应商每项评分因素的得分，各项得分四舍五入保留两位小数。</w:t>
      </w:r>
    </w:p>
    <w:tbl>
      <w:tblPr>
        <w:tblStyle w:val="7"/>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6954"/>
        <w:gridCol w:w="824"/>
      </w:tblGrid>
      <w:tr w14:paraId="3C705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8" w:type="dxa"/>
            <w:tcBorders>
              <w:top w:val="single" w:color="000000" w:sz="4" w:space="0"/>
              <w:left w:val="nil"/>
              <w:bottom w:val="single" w:color="000000" w:sz="4" w:space="0"/>
              <w:right w:val="single" w:color="000000" w:sz="4" w:space="0"/>
              <w:tl2br w:val="nil"/>
            </w:tcBorders>
            <w:shd w:val="clear" w:color="auto" w:fill="FFFFFF"/>
            <w:vAlign w:val="center"/>
          </w:tcPr>
          <w:p w14:paraId="6DFA957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评分内容</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57F1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评分标准</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2229E62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分值</w:t>
            </w:r>
          </w:p>
        </w:tc>
      </w:tr>
      <w:tr w14:paraId="0B45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3C8B9F81">
            <w:pPr>
              <w:keepNext w:val="0"/>
              <w:keepLines w:val="0"/>
              <w:pageBreakBefore w:val="0"/>
              <w:widowControl w:val="0"/>
              <w:kinsoku/>
              <w:wordWrap/>
              <w:overflowPunct/>
              <w:topLinePunct w:val="0"/>
              <w:autoSpaceDE/>
              <w:autoSpaceDN/>
              <w:bidi w:val="0"/>
              <w:adjustRightInd/>
              <w:snapToGrid/>
              <w:spacing w:before="1" w:line="240" w:lineRule="auto"/>
              <w:ind w:left="0" w:leftChars="0" w:right="96" w:firstLine="420" w:firstLineChars="175"/>
              <w:jc w:val="center"/>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企业实力与信誉</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2F99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投标人具有经中国国家认证认可监督管理委员会认证机构颁发的以下证书</w:t>
            </w:r>
          </w:p>
          <w:p w14:paraId="7CDD2A7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1、信息安全管理体系认证证书（ISO/IEC 27001）；</w:t>
            </w:r>
          </w:p>
          <w:p w14:paraId="4BB3A5B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2、质量管理体系认证证书（ISO 9001）；</w:t>
            </w:r>
          </w:p>
          <w:p w14:paraId="45E9798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3、信息系统安全运维服务资质CCRC（三级）；</w:t>
            </w:r>
          </w:p>
          <w:p w14:paraId="28E9242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4、信息安全应急处理资质证书CCRC（三级）；</w:t>
            </w:r>
          </w:p>
          <w:p w14:paraId="131C2D9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5、信息安全风险评估服务资质CCRC（三级）；</w:t>
            </w:r>
          </w:p>
          <w:p w14:paraId="3B0E537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6、信息技术服务管理体系认证证书（ISO/IEC 20000）；</w:t>
            </w:r>
          </w:p>
          <w:p w14:paraId="2FA428D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以上证书具备5个以上（含5个）得10分，具备4个上（含4个）得8分，具备3个上（含3个）得6分，具备3个以下证书不得分。</w:t>
            </w:r>
          </w:p>
          <w:p w14:paraId="47BF6D3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bCs/>
                <w:color w:val="000000"/>
                <w:kern w:val="2"/>
                <w:sz w:val="24"/>
                <w:szCs w:val="24"/>
                <w:lang w:val="en-US" w:eastAsia="zh-CN" w:bidi="ar-SA"/>
              </w:rPr>
              <w:t>备注：响应文件中同时提供证书扫描件或影印件以及全国认证认可信息公共服务平台官网证书信息查询截图</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15CD97CC">
            <w:pPr>
              <w:keepNext w:val="0"/>
              <w:keepLines w:val="0"/>
              <w:pageBreakBefore w:val="0"/>
              <w:widowControl w:val="0"/>
              <w:kinsoku/>
              <w:wordWrap/>
              <w:overflowPunct/>
              <w:topLinePunct w:val="0"/>
              <w:autoSpaceDE/>
              <w:autoSpaceDN/>
              <w:bidi w:val="0"/>
              <w:adjustRightInd/>
              <w:snapToGrid/>
              <w:spacing w:before="1" w:line="240" w:lineRule="auto"/>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10分</w:t>
            </w:r>
          </w:p>
        </w:tc>
      </w:tr>
      <w:tr w14:paraId="2D8FA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76AF4446">
            <w:pPr>
              <w:keepNext w:val="0"/>
              <w:keepLines w:val="0"/>
              <w:pageBreakBefore w:val="0"/>
              <w:widowControl w:val="0"/>
              <w:kinsoku/>
              <w:wordWrap/>
              <w:overflowPunct/>
              <w:topLinePunct w:val="0"/>
              <w:autoSpaceDE/>
              <w:autoSpaceDN/>
              <w:bidi w:val="0"/>
              <w:adjustRightInd/>
              <w:snapToGrid/>
              <w:spacing w:before="1" w:line="240" w:lineRule="auto"/>
              <w:ind w:left="0" w:leftChars="0" w:right="96" w:firstLine="420" w:firstLineChars="175"/>
              <w:jc w:val="center"/>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项目团队配置方案</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64B62">
            <w:pPr>
              <w:keepNext w:val="0"/>
              <w:keepLines w:val="0"/>
              <w:pageBreakBefore w:val="0"/>
              <w:widowControl w:val="0"/>
              <w:numPr>
                <w:ilvl w:val="0"/>
                <w:numId w:val="7"/>
              </w:numPr>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项目经理（1人）基础要求：</w:t>
            </w:r>
          </w:p>
          <w:p w14:paraId="3CCD2B0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本科及本科以上学历，具有由人社部和工信部颁发的信息系统项目管理师（高级）证书，得2分；</w:t>
            </w:r>
          </w:p>
          <w:p w14:paraId="25F9546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本科及本科以上学历，具有由中国信息安全测评中心颁发的注册信息安全工程师(CISE)证书，得2分；</w:t>
            </w:r>
          </w:p>
          <w:p w14:paraId="69280CF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本科及本科以上学历，具有由中国电子技术标准化研究院颁发的ITSS IT服务项目经理证书，得2分；</w:t>
            </w:r>
          </w:p>
          <w:p w14:paraId="408580B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供应商需提供1名项目经理具备以上技能证书，完全满足得6分，满足其中两项项证书，得4分，仅满足其中1项证书得2分，未提供有效期内的证书不得分。</w:t>
            </w:r>
          </w:p>
          <w:p w14:paraId="5CA806C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二、项目组技术工程师（2人、除项目经理外）：</w:t>
            </w:r>
          </w:p>
          <w:p w14:paraId="35181A3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1.具有由中国电子技术标准化研究院颁发的ITSS IT服务项目经理证书，得2分。</w:t>
            </w:r>
          </w:p>
          <w:p w14:paraId="78B3873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2.具有工业和信息化部教育与考试中心颁发的高级信息安全管理工程师证书，得2分。</w:t>
            </w:r>
          </w:p>
          <w:p w14:paraId="1A57999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bCs/>
                <w:color w:val="000000"/>
                <w:kern w:val="2"/>
                <w:sz w:val="24"/>
                <w:szCs w:val="24"/>
                <w:lang w:val="en-US" w:eastAsia="zh-CN" w:bidi="ar-SA"/>
              </w:rPr>
            </w:pPr>
            <w:r>
              <w:rPr>
                <w:rFonts w:hint="eastAsia" w:ascii="仿宋_GB2312" w:hAnsi="仿宋_GB2312" w:eastAsia="仿宋_GB2312" w:cs="仿宋_GB2312"/>
                <w:b w:val="0"/>
                <w:bCs/>
                <w:color w:val="000000"/>
                <w:kern w:val="2"/>
                <w:sz w:val="24"/>
                <w:szCs w:val="24"/>
                <w:lang w:val="en-US" w:eastAsia="zh-CN" w:bidi="ar-SA"/>
              </w:rPr>
              <w:t>响应文件须同时提供：</w:t>
            </w:r>
          </w:p>
          <w:p w14:paraId="2DABB6F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bCs/>
                <w:color w:val="000000"/>
                <w:kern w:val="2"/>
                <w:sz w:val="24"/>
                <w:szCs w:val="24"/>
                <w:lang w:val="en-US" w:eastAsia="zh-CN" w:bidi="ar-SA"/>
              </w:rPr>
            </w:pPr>
            <w:r>
              <w:rPr>
                <w:rFonts w:hint="eastAsia" w:ascii="仿宋_GB2312" w:hAnsi="仿宋_GB2312" w:eastAsia="仿宋_GB2312" w:cs="仿宋_GB2312"/>
                <w:b w:val="0"/>
                <w:bCs/>
                <w:color w:val="000000"/>
                <w:kern w:val="2"/>
                <w:sz w:val="24"/>
                <w:szCs w:val="24"/>
                <w:lang w:val="en-US" w:eastAsia="zh-CN" w:bidi="ar-SA"/>
              </w:rPr>
              <w:t>1.满足要求且有效期内的证书原件扫描件；</w:t>
            </w:r>
          </w:p>
          <w:p w14:paraId="2F978A7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bCs/>
                <w:color w:val="000000"/>
                <w:kern w:val="2"/>
                <w:sz w:val="24"/>
                <w:szCs w:val="24"/>
                <w:lang w:val="en-US" w:eastAsia="zh-CN" w:bidi="ar-SA"/>
              </w:rPr>
              <w:t>2.投标人为上述人员缴纳的近6个月内（任意连续3个月）社保证明材料。</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63A78B1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10分</w:t>
            </w:r>
          </w:p>
        </w:tc>
      </w:tr>
      <w:tr w14:paraId="796E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7B79A82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本地化服务能力</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3C39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投标人具有本地化服务能力，本地化服务能力是指具有以下条件之一，本地指安徽省芜湖市：</w:t>
            </w:r>
          </w:p>
          <w:p w14:paraId="2DE279E7">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1.在本地注册成立；</w:t>
            </w:r>
          </w:p>
          <w:p w14:paraId="646B5FC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2.在本地具有固定的办公场所及人员；</w:t>
            </w:r>
          </w:p>
          <w:p w14:paraId="0646D687">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3.承诺合同签后即设立本地化服务机构。</w:t>
            </w:r>
          </w:p>
          <w:p w14:paraId="66A09C1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满足上述条件之一，得3分。</w:t>
            </w:r>
          </w:p>
          <w:p w14:paraId="3A91B85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0"/>
                <w:sz w:val="24"/>
                <w:szCs w:val="22"/>
                <w:lang w:val="en-US" w:eastAsia="zh-CN" w:bidi="zh-CN"/>
              </w:rPr>
              <w:t>注：响应文件中提供本地化服务能力相关材料：营业执照扫描件或提供办公场所的房产（或租赁）证明及人员名单（格式自拟）扫描件或提供合同签订后即设立本地化服务机构的承诺。不提供任何证明材料，本项不得分。</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03589C4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3分</w:t>
            </w:r>
          </w:p>
        </w:tc>
      </w:tr>
      <w:tr w14:paraId="3372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2E726C7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类似项目业绩</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81B9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供应商具备自招标之日起三年内同类业务（网络安全运维服务）服务业绩的，提供业绩合同，每有一份业绩合同加</w:t>
            </w:r>
            <w:r>
              <w:rPr>
                <w:rFonts w:hint="eastAsia" w:ascii="仿宋_GB2312" w:hAnsi="仿宋_GB2312" w:eastAsia="仿宋_GB2312" w:cs="仿宋_GB2312"/>
                <w:b w:val="0"/>
                <w:color w:val="000000"/>
                <w:kern w:val="2"/>
                <w:sz w:val="24"/>
                <w:szCs w:val="24"/>
                <w:u w:val="single"/>
                <w:lang w:val="en-US" w:eastAsia="zh-CN" w:bidi="ar-SA"/>
              </w:rPr>
              <w:t xml:space="preserve"> 2 </w:t>
            </w:r>
            <w:r>
              <w:rPr>
                <w:rFonts w:hint="eastAsia" w:ascii="仿宋_GB2312" w:hAnsi="仿宋_GB2312" w:eastAsia="仿宋_GB2312" w:cs="仿宋_GB2312"/>
                <w:b w:val="0"/>
                <w:color w:val="000000"/>
                <w:kern w:val="2"/>
                <w:sz w:val="24"/>
                <w:szCs w:val="24"/>
                <w:lang w:val="en-US" w:eastAsia="zh-CN" w:bidi="ar-SA"/>
              </w:rPr>
              <w:t>分，加满为止。（响应文件中须提供业绩合同，扫描件应能辨识买卖双方公章或合同专用章、标的信息；如业绩合同不能体现以上全部内容，可提供业绩合同甲方盖公章的证明扫描件。否则，不得分。供应商与其关联公司（单位负责人为同一人或者存在直接控股、管理关系的不同供应商）之间签订的合同，均不予认可。）</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10088F6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6分</w:t>
            </w:r>
          </w:p>
        </w:tc>
      </w:tr>
      <w:tr w14:paraId="4EA0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4871A61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商务报价</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D714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投标人报价得分＝（评标基准价/投标报价）×10％×100；评标基准价为满足招标文件要求且最低的投标评审价；</w:t>
            </w:r>
          </w:p>
          <w:p w14:paraId="77EFC87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投标评审价：评标委员会按照报价评审要求确定的最终价格。</w:t>
            </w:r>
          </w:p>
          <w:p w14:paraId="44E9AFD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（商务报价分计算至小数点后第二位、小数点后第三位四舍五入）</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540B3FF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10分</w:t>
            </w:r>
          </w:p>
        </w:tc>
      </w:tr>
    </w:tbl>
    <w:p w14:paraId="5EC037A5">
      <w:pPr>
        <w:spacing w:line="360" w:lineRule="auto"/>
        <w:ind w:left="0" w:leftChars="0" w:firstLine="420" w:firstLineChars="175"/>
        <w:rPr>
          <w:rFonts w:hint="eastAsia" w:ascii="仿宋_GB2312" w:hAnsi="仿宋_GB2312" w:eastAsia="仿宋_GB2312" w:cs="仿宋_GB2312"/>
          <w:color w:val="000000"/>
          <w:sz w:val="24"/>
          <w:szCs w:val="24"/>
        </w:rPr>
      </w:pPr>
    </w:p>
    <w:p w14:paraId="443AF58D">
      <w:pPr>
        <w:spacing w:line="360" w:lineRule="auto"/>
        <w:ind w:left="0" w:leftChars="0" w:firstLine="420" w:firstLineChars="175"/>
        <w:rPr>
          <w:rFonts w:hint="eastAsia" w:ascii="仿宋_GB2312" w:hAnsi="仿宋_GB2312" w:eastAsia="仿宋_GB2312" w:cs="仿宋_GB2312"/>
          <w:color w:val="000000"/>
          <w:sz w:val="24"/>
          <w:szCs w:val="24"/>
        </w:rPr>
      </w:pPr>
    </w:p>
    <w:p w14:paraId="504E0D52">
      <w:pPr>
        <w:spacing w:line="360" w:lineRule="auto"/>
        <w:ind w:left="0" w:leftChars="0" w:firstLine="525" w:firstLineChars="175"/>
        <w:rPr>
          <w:rFonts w:hint="eastAsia" w:ascii="仿宋_GB2312" w:hAnsi="仿宋_GB2312" w:eastAsia="仿宋_GB2312" w:cs="仿宋_GB2312"/>
          <w:color w:val="000000"/>
          <w:sz w:val="24"/>
          <w:szCs w:val="24"/>
        </w:rPr>
      </w:pPr>
      <w:r>
        <w:rPr>
          <w:rFonts w:hint="default" w:ascii="Segoe UI" w:hAnsi="Segoe UI" w:eastAsia="Segoe UI" w:cs="Segoe UI"/>
          <w:b/>
          <w:bCs/>
          <w:caps w:val="0"/>
          <w:color w:val="0F1115"/>
          <w:spacing w:val="0"/>
          <w:sz w:val="30"/>
          <w:szCs w:val="30"/>
          <w:shd w:val="clear" w:fill="FFFFFF"/>
        </w:rPr>
        <w:t>二、技术部分（61分）</w:t>
      </w:r>
    </w:p>
    <w:tbl>
      <w:tblPr>
        <w:tblStyle w:val="6"/>
        <w:tblW w:w="5529" w:type="pct"/>
        <w:tblInd w:w="-792"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689"/>
        <w:gridCol w:w="6634"/>
        <w:gridCol w:w="862"/>
      </w:tblGrid>
      <w:tr w14:paraId="54F8A32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l2br w:val="nil"/>
            </w:tcBorders>
            <w:shd w:val="clear" w:color="auto" w:fill="FFFFFF"/>
            <w:vAlign w:val="center"/>
          </w:tcPr>
          <w:p w14:paraId="4D8548D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评审内容</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49132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评审标准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4770FF2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分值</w:t>
            </w:r>
          </w:p>
        </w:tc>
      </w:tr>
      <w:tr w14:paraId="2A0B956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6196F26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kern w:val="0"/>
                <w:sz w:val="24"/>
                <w:szCs w:val="24"/>
                <w:lang w:bidi="ar"/>
              </w:rPr>
            </w:pPr>
            <w:r>
              <w:rPr>
                <w:rFonts w:hint="eastAsia" w:ascii="仿宋_GB2312" w:hAnsi="仿宋_GB2312" w:eastAsia="仿宋_GB2312" w:cs="仿宋_GB2312"/>
                <w:b w:val="0"/>
                <w:color w:val="000000"/>
                <w:sz w:val="24"/>
                <w:szCs w:val="24"/>
              </w:rPr>
              <w:t>总体服务方案</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DECD0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根据采购文件要求及投标供应商提供的总体服务方案（主要包括项目背景、项目建设要求、项目实施要求、服务要求等）情况，进行综合评分：</w:t>
            </w:r>
          </w:p>
          <w:p w14:paraId="5C6BB34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（1）对本项目特点和难点理解准确，总体服务方案优于本项目采购需求，完整详细，可行性、实用性、针对性强，得</w:t>
            </w:r>
            <w:r>
              <w:rPr>
                <w:rFonts w:hint="eastAsia" w:ascii="仿宋_GB2312" w:hAnsi="仿宋_GB2312" w:eastAsia="仿宋_GB2312" w:cs="仿宋_GB2312"/>
                <w:b w:val="0"/>
                <w:color w:val="000000"/>
                <w:sz w:val="24"/>
                <w:szCs w:val="24"/>
                <w:lang w:val="en-US" w:eastAsia="zh-CN"/>
              </w:rPr>
              <w:t>10-12</w:t>
            </w:r>
            <w:r>
              <w:rPr>
                <w:rFonts w:hint="eastAsia" w:ascii="仿宋_GB2312" w:hAnsi="仿宋_GB2312" w:eastAsia="仿宋_GB2312" w:cs="仿宋_GB2312"/>
                <w:b w:val="0"/>
                <w:color w:val="000000"/>
                <w:sz w:val="24"/>
                <w:szCs w:val="24"/>
              </w:rPr>
              <w:t>分；</w:t>
            </w:r>
          </w:p>
          <w:p w14:paraId="2AC94D7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（2）对本项目特点和难点理解基本准确，总体服务方案适合本项目采购需求，完整详细，具有可行性、实用性、针对性，得</w:t>
            </w:r>
            <w:r>
              <w:rPr>
                <w:rFonts w:hint="eastAsia" w:ascii="仿宋_GB2312" w:hAnsi="仿宋_GB2312" w:eastAsia="仿宋_GB2312" w:cs="仿宋_GB2312"/>
                <w:b w:val="0"/>
                <w:color w:val="000000"/>
                <w:sz w:val="24"/>
                <w:szCs w:val="24"/>
                <w:lang w:val="en-US" w:eastAsia="zh-CN"/>
              </w:rPr>
              <w:t>7-9</w:t>
            </w:r>
            <w:r>
              <w:rPr>
                <w:rFonts w:hint="eastAsia" w:ascii="仿宋_GB2312" w:hAnsi="仿宋_GB2312" w:eastAsia="仿宋_GB2312" w:cs="仿宋_GB2312"/>
                <w:b w:val="0"/>
                <w:color w:val="000000"/>
                <w:sz w:val="24"/>
                <w:szCs w:val="24"/>
              </w:rPr>
              <w:t>分；</w:t>
            </w:r>
          </w:p>
          <w:p w14:paraId="07AE6BB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（3）对本项目特点和难点理解有待提升，总体服务方案基本适合本项目采购需求，可行性、实用性、针对性有待改善，得</w:t>
            </w:r>
            <w:r>
              <w:rPr>
                <w:rFonts w:hint="eastAsia" w:ascii="仿宋_GB2312" w:hAnsi="仿宋_GB2312" w:eastAsia="仿宋_GB2312" w:cs="仿宋_GB2312"/>
                <w:b w:val="0"/>
                <w:color w:val="000000"/>
                <w:sz w:val="24"/>
                <w:szCs w:val="24"/>
                <w:lang w:val="en-US" w:eastAsia="zh-CN"/>
              </w:rPr>
              <w:t>4-6</w:t>
            </w:r>
            <w:r>
              <w:rPr>
                <w:rFonts w:hint="eastAsia" w:ascii="仿宋_GB2312" w:hAnsi="仿宋_GB2312" w:eastAsia="仿宋_GB2312" w:cs="仿宋_GB2312"/>
                <w:b w:val="0"/>
                <w:color w:val="000000"/>
                <w:sz w:val="24"/>
                <w:szCs w:val="24"/>
              </w:rPr>
              <w:t>分；</w:t>
            </w:r>
          </w:p>
          <w:p w14:paraId="4966DA8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snapToGrid w:val="0"/>
                <w:color w:val="000000"/>
                <w:kern w:val="0"/>
                <w:sz w:val="24"/>
                <w:szCs w:val="24"/>
              </w:rPr>
            </w:pPr>
            <w:r>
              <w:rPr>
                <w:rFonts w:hint="eastAsia" w:ascii="仿宋_GB2312" w:hAnsi="仿宋_GB2312" w:eastAsia="仿宋_GB2312" w:cs="仿宋_GB2312"/>
                <w:b w:val="0"/>
                <w:color w:val="000000"/>
                <w:sz w:val="24"/>
                <w:szCs w:val="24"/>
              </w:rPr>
              <w:t>（4）总体服务方案不可行或未提供，得0</w:t>
            </w:r>
            <w:r>
              <w:rPr>
                <w:rFonts w:hint="eastAsia" w:ascii="仿宋_GB2312" w:hAnsi="仿宋_GB2312" w:eastAsia="仿宋_GB2312" w:cs="仿宋_GB2312"/>
                <w:b w:val="0"/>
                <w:color w:val="000000"/>
                <w:sz w:val="24"/>
                <w:szCs w:val="24"/>
                <w:lang w:val="en-US" w:eastAsia="zh-CN"/>
              </w:rPr>
              <w:t>-3</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09DACD8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w:t>
            </w:r>
            <w:r>
              <w:rPr>
                <w:rFonts w:hint="eastAsia" w:ascii="仿宋_GB2312" w:hAnsi="仿宋_GB2312" w:eastAsia="仿宋_GB2312" w:cs="仿宋_GB2312"/>
                <w:b w:val="0"/>
                <w:color w:val="000000"/>
                <w:sz w:val="24"/>
                <w:szCs w:val="24"/>
                <w:lang w:val="en-US" w:eastAsia="zh-CN"/>
              </w:rPr>
              <w:t>2</w:t>
            </w:r>
            <w:r>
              <w:rPr>
                <w:rFonts w:hint="eastAsia" w:ascii="仿宋_GB2312" w:hAnsi="仿宋_GB2312" w:eastAsia="仿宋_GB2312" w:cs="仿宋_GB2312"/>
                <w:b w:val="0"/>
                <w:color w:val="000000"/>
                <w:sz w:val="24"/>
                <w:szCs w:val="24"/>
              </w:rPr>
              <w:t>分</w:t>
            </w:r>
          </w:p>
        </w:tc>
      </w:tr>
      <w:tr w14:paraId="13526FC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196E5BD8">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服务实施计划</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C62A6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根据采购文件要求及投标供应商提供的服务实施计划情况，进行综合评分：</w:t>
            </w:r>
          </w:p>
          <w:p w14:paraId="0254E54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（1）对本项目特点和难点理解准确，服务实施计划优于本项目采购需求，完整详细，可行性、实用性、针对性强，得</w:t>
            </w:r>
            <w:r>
              <w:rPr>
                <w:rFonts w:hint="eastAsia" w:ascii="仿宋_GB2312" w:hAnsi="仿宋_GB2312" w:eastAsia="仿宋_GB2312" w:cs="仿宋_GB2312"/>
                <w:b w:val="0"/>
                <w:color w:val="000000"/>
                <w:sz w:val="24"/>
                <w:szCs w:val="24"/>
                <w:lang w:val="en-US" w:eastAsia="zh-CN"/>
              </w:rPr>
              <w:t>9-10</w:t>
            </w:r>
            <w:r>
              <w:rPr>
                <w:rFonts w:hint="eastAsia" w:ascii="仿宋_GB2312" w:hAnsi="仿宋_GB2312" w:eastAsia="仿宋_GB2312" w:cs="仿宋_GB2312"/>
                <w:b w:val="0"/>
                <w:color w:val="000000"/>
                <w:sz w:val="24"/>
                <w:szCs w:val="24"/>
              </w:rPr>
              <w:t>分；</w:t>
            </w:r>
          </w:p>
          <w:p w14:paraId="0DED331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（2）对本项目特点和难点理解基本准确，服务实施计划适合本项目采购需求，完整详细，具有可行性、实用性、针对性，得</w:t>
            </w:r>
            <w:r>
              <w:rPr>
                <w:rFonts w:hint="eastAsia" w:ascii="仿宋_GB2312" w:hAnsi="仿宋_GB2312" w:eastAsia="仿宋_GB2312" w:cs="仿宋_GB2312"/>
                <w:b w:val="0"/>
                <w:color w:val="000000"/>
                <w:sz w:val="24"/>
                <w:szCs w:val="24"/>
                <w:lang w:val="en-US" w:eastAsia="zh-CN"/>
              </w:rPr>
              <w:t>6-</w:t>
            </w:r>
            <w:r>
              <w:rPr>
                <w:rFonts w:hint="eastAsia" w:ascii="仿宋_GB2312" w:hAnsi="仿宋_GB2312" w:eastAsia="仿宋_GB2312" w:cs="仿宋_GB2312"/>
                <w:b w:val="0"/>
                <w:color w:val="000000"/>
                <w:sz w:val="24"/>
                <w:szCs w:val="24"/>
              </w:rPr>
              <w:t>8分；</w:t>
            </w:r>
          </w:p>
          <w:p w14:paraId="5FCE69E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（3）对本项目特点和难点理解有待提升，服务实施计划基本适合本项目采购需求，可行性、实用性、针对性有待改善，得</w:t>
            </w:r>
            <w:r>
              <w:rPr>
                <w:rFonts w:hint="eastAsia" w:ascii="仿宋_GB2312" w:hAnsi="仿宋_GB2312" w:eastAsia="仿宋_GB2312" w:cs="仿宋_GB2312"/>
                <w:b w:val="0"/>
                <w:color w:val="000000"/>
                <w:sz w:val="24"/>
                <w:szCs w:val="24"/>
                <w:lang w:val="en-US" w:eastAsia="zh-CN"/>
              </w:rPr>
              <w:t>3-5</w:t>
            </w:r>
            <w:r>
              <w:rPr>
                <w:rFonts w:hint="eastAsia" w:ascii="仿宋_GB2312" w:hAnsi="仿宋_GB2312" w:eastAsia="仿宋_GB2312" w:cs="仿宋_GB2312"/>
                <w:b w:val="0"/>
                <w:color w:val="000000"/>
                <w:sz w:val="24"/>
                <w:szCs w:val="24"/>
              </w:rPr>
              <w:t>分；</w:t>
            </w:r>
          </w:p>
          <w:p w14:paraId="0CC0A9C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（4）服务实施计划不可行或未提供，得0</w:t>
            </w:r>
            <w:r>
              <w:rPr>
                <w:rFonts w:hint="eastAsia" w:ascii="仿宋_GB2312" w:hAnsi="仿宋_GB2312" w:eastAsia="仿宋_GB2312" w:cs="仿宋_GB2312"/>
                <w:b w:val="0"/>
                <w:color w:val="000000"/>
                <w:sz w:val="24"/>
                <w:szCs w:val="24"/>
                <w:lang w:val="en-US" w:eastAsia="zh-CN"/>
              </w:rPr>
              <w:t>-3</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563D938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w:t>
            </w:r>
            <w:r>
              <w:rPr>
                <w:rFonts w:hint="eastAsia" w:ascii="仿宋_GB2312" w:hAnsi="仿宋_GB2312" w:eastAsia="仿宋_GB2312" w:cs="仿宋_GB2312"/>
                <w:b w:val="0"/>
                <w:color w:val="000000"/>
                <w:sz w:val="24"/>
                <w:szCs w:val="24"/>
                <w:lang w:val="en-US" w:eastAsia="zh-CN"/>
              </w:rPr>
              <w:t>0</w:t>
            </w:r>
            <w:r>
              <w:rPr>
                <w:rFonts w:hint="eastAsia" w:ascii="仿宋_GB2312" w:hAnsi="仿宋_GB2312" w:eastAsia="仿宋_GB2312" w:cs="仿宋_GB2312"/>
                <w:b w:val="0"/>
                <w:color w:val="000000"/>
                <w:sz w:val="24"/>
                <w:szCs w:val="24"/>
              </w:rPr>
              <w:t>分</w:t>
            </w:r>
          </w:p>
        </w:tc>
      </w:tr>
      <w:tr w14:paraId="480131E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5C96D9D1">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人员培训方案</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2F0D6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根据采购文件要求及投标供应商提供的人员培训方案（主要包括对人员的培训安排、培训内容等）情况，进行综合评分：</w:t>
            </w:r>
          </w:p>
          <w:p w14:paraId="0222FB0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（1）对本项目特点和难点理解准确，人员培训方案优于本项目采购需求，完整详细，可行性、实用性、针对性强，得</w:t>
            </w:r>
            <w:r>
              <w:rPr>
                <w:rFonts w:hint="eastAsia" w:ascii="仿宋_GB2312" w:hAnsi="仿宋_GB2312" w:eastAsia="仿宋_GB2312" w:cs="仿宋_GB2312"/>
                <w:b w:val="0"/>
                <w:color w:val="000000"/>
                <w:sz w:val="24"/>
                <w:szCs w:val="24"/>
                <w:lang w:val="en-US" w:eastAsia="zh-CN"/>
              </w:rPr>
              <w:t>9-10</w:t>
            </w:r>
            <w:r>
              <w:rPr>
                <w:rFonts w:hint="eastAsia" w:ascii="仿宋_GB2312" w:hAnsi="仿宋_GB2312" w:eastAsia="仿宋_GB2312" w:cs="仿宋_GB2312"/>
                <w:b w:val="0"/>
                <w:color w:val="000000"/>
                <w:sz w:val="24"/>
                <w:szCs w:val="24"/>
              </w:rPr>
              <w:t>分；</w:t>
            </w:r>
          </w:p>
          <w:p w14:paraId="1304C24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（2）对本项目特点和难点理解基本准确，人员培训方案适合本项目采购需求，完整详细，具有可行性、实用性、针对性，得</w:t>
            </w:r>
            <w:r>
              <w:rPr>
                <w:rFonts w:hint="eastAsia" w:ascii="仿宋_GB2312" w:hAnsi="仿宋_GB2312" w:eastAsia="仿宋_GB2312" w:cs="仿宋_GB2312"/>
                <w:b w:val="0"/>
                <w:color w:val="000000"/>
                <w:sz w:val="24"/>
                <w:szCs w:val="24"/>
                <w:lang w:val="en-US" w:eastAsia="zh-CN"/>
              </w:rPr>
              <w:t>6-8</w:t>
            </w:r>
            <w:r>
              <w:rPr>
                <w:rFonts w:hint="eastAsia" w:ascii="仿宋_GB2312" w:hAnsi="仿宋_GB2312" w:eastAsia="仿宋_GB2312" w:cs="仿宋_GB2312"/>
                <w:b w:val="0"/>
                <w:color w:val="000000"/>
                <w:sz w:val="24"/>
                <w:szCs w:val="24"/>
              </w:rPr>
              <w:t>分；</w:t>
            </w:r>
          </w:p>
          <w:p w14:paraId="389E51B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（3）对本项目特点和难点理解有待提升，人员培训方案基本适合本项目采购需求，可行性、实用性、针对性有待改善，得</w:t>
            </w:r>
            <w:r>
              <w:rPr>
                <w:rFonts w:hint="eastAsia" w:ascii="仿宋_GB2312" w:hAnsi="仿宋_GB2312" w:eastAsia="仿宋_GB2312" w:cs="仿宋_GB2312"/>
                <w:b w:val="0"/>
                <w:color w:val="000000"/>
                <w:sz w:val="24"/>
                <w:szCs w:val="24"/>
                <w:lang w:val="en-US" w:eastAsia="zh-CN"/>
              </w:rPr>
              <w:t>3-5</w:t>
            </w:r>
            <w:r>
              <w:rPr>
                <w:rFonts w:hint="eastAsia" w:ascii="仿宋_GB2312" w:hAnsi="仿宋_GB2312" w:eastAsia="仿宋_GB2312" w:cs="仿宋_GB2312"/>
                <w:b w:val="0"/>
                <w:color w:val="000000"/>
                <w:sz w:val="24"/>
                <w:szCs w:val="24"/>
              </w:rPr>
              <w:t>分；</w:t>
            </w:r>
          </w:p>
          <w:p w14:paraId="2CB10F1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（4）人员培训方案不可行或未提供，得0</w:t>
            </w:r>
            <w:r>
              <w:rPr>
                <w:rFonts w:hint="eastAsia" w:ascii="仿宋_GB2312" w:hAnsi="仿宋_GB2312" w:eastAsia="仿宋_GB2312" w:cs="仿宋_GB2312"/>
                <w:b w:val="0"/>
                <w:color w:val="000000"/>
                <w:sz w:val="24"/>
                <w:szCs w:val="24"/>
                <w:lang w:val="en-US" w:eastAsia="zh-CN"/>
              </w:rPr>
              <w:t>-2</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1F9C3DF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lang w:val="en-US" w:eastAsia="zh-CN"/>
              </w:rPr>
              <w:t>10</w:t>
            </w:r>
            <w:r>
              <w:rPr>
                <w:rFonts w:hint="eastAsia" w:ascii="仿宋_GB2312" w:hAnsi="仿宋_GB2312" w:eastAsia="仿宋_GB2312" w:cs="仿宋_GB2312"/>
                <w:b w:val="0"/>
                <w:color w:val="000000"/>
                <w:sz w:val="24"/>
                <w:szCs w:val="24"/>
              </w:rPr>
              <w:t>分</w:t>
            </w:r>
          </w:p>
        </w:tc>
      </w:tr>
      <w:tr w14:paraId="1628D2E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70E50FB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lang w:eastAsia="zh-Hans"/>
              </w:rPr>
            </w:pPr>
            <w:r>
              <w:rPr>
                <w:rFonts w:hint="eastAsia" w:ascii="仿宋_GB2312" w:hAnsi="仿宋_GB2312" w:eastAsia="仿宋_GB2312" w:cs="仿宋_GB2312"/>
                <w:b w:val="0"/>
                <w:color w:val="000000"/>
                <w:sz w:val="24"/>
                <w:szCs w:val="24"/>
              </w:rPr>
              <w:t>安全方案</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9999C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根据采购文件要求及投标供应商提供的安全方案（包括安全目标、信息保密细则、信息安全控制措施等）情况，进行综合评分：</w:t>
            </w:r>
          </w:p>
          <w:p w14:paraId="05AE4D1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（1）对本项目特点和难点理解准确，安全方案优于本项目采购需求，完整详细，可行性、实用性、针对性强，得</w:t>
            </w:r>
            <w:r>
              <w:rPr>
                <w:rFonts w:hint="eastAsia" w:ascii="仿宋_GB2312" w:hAnsi="仿宋_GB2312" w:eastAsia="仿宋_GB2312" w:cs="仿宋_GB2312"/>
                <w:b w:val="0"/>
                <w:color w:val="000000"/>
                <w:sz w:val="24"/>
                <w:szCs w:val="24"/>
                <w:lang w:val="en-US" w:eastAsia="zh-CN"/>
              </w:rPr>
              <w:t>9-10</w:t>
            </w:r>
            <w:r>
              <w:rPr>
                <w:rFonts w:hint="eastAsia" w:ascii="仿宋_GB2312" w:hAnsi="仿宋_GB2312" w:eastAsia="仿宋_GB2312" w:cs="仿宋_GB2312"/>
                <w:b w:val="0"/>
                <w:color w:val="000000"/>
                <w:sz w:val="24"/>
                <w:szCs w:val="24"/>
              </w:rPr>
              <w:t>分；</w:t>
            </w:r>
          </w:p>
          <w:p w14:paraId="0ACFB88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（2）对本项目特点和难点理解基本准确，安全方案适合本项目采购需求，完整详细，具有可行性、实用性、针对性，得</w:t>
            </w:r>
            <w:r>
              <w:rPr>
                <w:rFonts w:hint="eastAsia" w:ascii="仿宋_GB2312" w:hAnsi="仿宋_GB2312" w:eastAsia="仿宋_GB2312" w:cs="仿宋_GB2312"/>
                <w:b w:val="0"/>
                <w:color w:val="000000"/>
                <w:sz w:val="24"/>
                <w:szCs w:val="24"/>
                <w:lang w:val="en-US" w:eastAsia="zh-CN"/>
              </w:rPr>
              <w:t>6-8</w:t>
            </w:r>
            <w:r>
              <w:rPr>
                <w:rFonts w:hint="eastAsia" w:ascii="仿宋_GB2312" w:hAnsi="仿宋_GB2312" w:eastAsia="仿宋_GB2312" w:cs="仿宋_GB2312"/>
                <w:b w:val="0"/>
                <w:color w:val="000000"/>
                <w:sz w:val="24"/>
                <w:szCs w:val="24"/>
              </w:rPr>
              <w:t>分；</w:t>
            </w:r>
          </w:p>
          <w:p w14:paraId="5DE7F39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（3）对本项目特点和难点理解有待提升，安全方案基本适合本项目采购需求，可行性、实用性、针对性有待改善，得</w:t>
            </w:r>
            <w:r>
              <w:rPr>
                <w:rFonts w:hint="eastAsia" w:ascii="仿宋_GB2312" w:hAnsi="仿宋_GB2312" w:eastAsia="仿宋_GB2312" w:cs="仿宋_GB2312"/>
                <w:b w:val="0"/>
                <w:color w:val="000000"/>
                <w:sz w:val="24"/>
                <w:szCs w:val="24"/>
                <w:lang w:val="en-US" w:eastAsia="zh-CN"/>
              </w:rPr>
              <w:t>3-5</w:t>
            </w:r>
            <w:r>
              <w:rPr>
                <w:rFonts w:hint="eastAsia" w:ascii="仿宋_GB2312" w:hAnsi="仿宋_GB2312" w:eastAsia="仿宋_GB2312" w:cs="仿宋_GB2312"/>
                <w:b w:val="0"/>
                <w:color w:val="000000"/>
                <w:sz w:val="24"/>
                <w:szCs w:val="24"/>
              </w:rPr>
              <w:t>分；</w:t>
            </w:r>
          </w:p>
          <w:p w14:paraId="2678665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（4）安全方案不可行或未提供，得0</w:t>
            </w:r>
            <w:r>
              <w:rPr>
                <w:rFonts w:hint="eastAsia" w:ascii="仿宋_GB2312" w:hAnsi="仿宋_GB2312" w:eastAsia="仿宋_GB2312" w:cs="仿宋_GB2312"/>
                <w:b w:val="0"/>
                <w:color w:val="000000"/>
                <w:sz w:val="24"/>
                <w:szCs w:val="24"/>
                <w:lang w:val="en-US" w:eastAsia="zh-CN"/>
              </w:rPr>
              <w:t>-2</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73FB98F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lang w:val="en-US" w:eastAsia="zh-CN"/>
              </w:rPr>
              <w:t>10</w:t>
            </w:r>
            <w:r>
              <w:rPr>
                <w:rFonts w:hint="eastAsia" w:ascii="仿宋_GB2312" w:hAnsi="仿宋_GB2312" w:eastAsia="仿宋_GB2312" w:cs="仿宋_GB2312"/>
                <w:b w:val="0"/>
                <w:color w:val="000000"/>
                <w:sz w:val="24"/>
                <w:szCs w:val="24"/>
              </w:rPr>
              <w:t>分</w:t>
            </w:r>
          </w:p>
        </w:tc>
      </w:tr>
      <w:tr w14:paraId="5E9BA4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37302D0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lang w:eastAsia="zh-Hans"/>
              </w:rPr>
            </w:pPr>
            <w:r>
              <w:rPr>
                <w:rFonts w:hint="eastAsia" w:ascii="仿宋_GB2312" w:hAnsi="仿宋_GB2312" w:eastAsia="仿宋_GB2312" w:cs="仿宋_GB2312"/>
                <w:b w:val="0"/>
                <w:color w:val="000000"/>
                <w:sz w:val="24"/>
                <w:szCs w:val="24"/>
              </w:rPr>
              <w:t>应急预案</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3D47F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根据采购文件要求及投标供应商提供的应急预案（主要包括对紧急、突发事件有应急措施和应急预案，突击性任务的安排预案及保障措施等）情况，进行综合评分：</w:t>
            </w:r>
          </w:p>
          <w:p w14:paraId="1FFE3BA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（1）对本项目特点和难点理解准确，应急预案优于本项目采购需求，完整详细，可行性、实用性、针对性强，得</w:t>
            </w:r>
            <w:r>
              <w:rPr>
                <w:rFonts w:hint="eastAsia" w:ascii="仿宋_GB2312" w:hAnsi="仿宋_GB2312" w:eastAsia="仿宋_GB2312" w:cs="仿宋_GB2312"/>
                <w:b w:val="0"/>
                <w:color w:val="000000"/>
                <w:sz w:val="24"/>
                <w:szCs w:val="24"/>
                <w:lang w:val="en-US" w:eastAsia="zh-CN"/>
              </w:rPr>
              <w:t>9-10</w:t>
            </w:r>
            <w:r>
              <w:rPr>
                <w:rFonts w:hint="eastAsia" w:ascii="仿宋_GB2312" w:hAnsi="仿宋_GB2312" w:eastAsia="仿宋_GB2312" w:cs="仿宋_GB2312"/>
                <w:b w:val="0"/>
                <w:color w:val="000000"/>
                <w:sz w:val="24"/>
                <w:szCs w:val="24"/>
              </w:rPr>
              <w:t>分；</w:t>
            </w:r>
          </w:p>
          <w:p w14:paraId="774236B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（2）对本项目特点和难点理解基本准确，应急预案适合本项目采购需求，完整详细，具有可行性、实用性、针对性，得</w:t>
            </w:r>
            <w:r>
              <w:rPr>
                <w:rFonts w:hint="eastAsia" w:ascii="仿宋_GB2312" w:hAnsi="仿宋_GB2312" w:eastAsia="仿宋_GB2312" w:cs="仿宋_GB2312"/>
                <w:b w:val="0"/>
                <w:color w:val="000000"/>
                <w:sz w:val="24"/>
                <w:szCs w:val="24"/>
                <w:lang w:val="en-US" w:eastAsia="zh-CN"/>
              </w:rPr>
              <w:t>6-8</w:t>
            </w:r>
            <w:r>
              <w:rPr>
                <w:rFonts w:hint="eastAsia" w:ascii="仿宋_GB2312" w:hAnsi="仿宋_GB2312" w:eastAsia="仿宋_GB2312" w:cs="仿宋_GB2312"/>
                <w:b w:val="0"/>
                <w:color w:val="000000"/>
                <w:sz w:val="24"/>
                <w:szCs w:val="24"/>
              </w:rPr>
              <w:t>分；</w:t>
            </w:r>
          </w:p>
          <w:p w14:paraId="423B447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（3）对本项目特点和难点理解有待提升，应急预案基本适合本项目采购需求，可行性、实用性、针对性有待改善，得</w:t>
            </w:r>
            <w:r>
              <w:rPr>
                <w:rFonts w:hint="eastAsia" w:ascii="仿宋_GB2312" w:hAnsi="仿宋_GB2312" w:eastAsia="仿宋_GB2312" w:cs="仿宋_GB2312"/>
                <w:b w:val="0"/>
                <w:color w:val="000000"/>
                <w:sz w:val="24"/>
                <w:szCs w:val="24"/>
                <w:lang w:val="en-US" w:eastAsia="zh-CN"/>
              </w:rPr>
              <w:t>3-5</w:t>
            </w:r>
            <w:r>
              <w:rPr>
                <w:rFonts w:hint="eastAsia" w:ascii="仿宋_GB2312" w:hAnsi="仿宋_GB2312" w:eastAsia="仿宋_GB2312" w:cs="仿宋_GB2312"/>
                <w:b w:val="0"/>
                <w:color w:val="000000"/>
                <w:sz w:val="24"/>
                <w:szCs w:val="24"/>
              </w:rPr>
              <w:t>分；</w:t>
            </w:r>
          </w:p>
          <w:p w14:paraId="76BF0FB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（4）应急预案不可行或未提供，得0</w:t>
            </w:r>
            <w:r>
              <w:rPr>
                <w:rFonts w:hint="eastAsia" w:ascii="仿宋_GB2312" w:hAnsi="仿宋_GB2312" w:eastAsia="仿宋_GB2312" w:cs="仿宋_GB2312"/>
                <w:b w:val="0"/>
                <w:color w:val="000000"/>
                <w:sz w:val="24"/>
                <w:szCs w:val="24"/>
                <w:lang w:val="en-US" w:eastAsia="zh-CN"/>
              </w:rPr>
              <w:t>-2</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1ACA513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lang w:val="en-US" w:eastAsia="zh-CN"/>
              </w:rPr>
              <w:t>10</w:t>
            </w:r>
            <w:r>
              <w:rPr>
                <w:rFonts w:hint="eastAsia" w:ascii="仿宋_GB2312" w:hAnsi="仿宋_GB2312" w:eastAsia="仿宋_GB2312" w:cs="仿宋_GB2312"/>
                <w:b w:val="0"/>
                <w:color w:val="000000"/>
                <w:sz w:val="24"/>
                <w:szCs w:val="24"/>
              </w:rPr>
              <w:t>分</w:t>
            </w:r>
          </w:p>
        </w:tc>
      </w:tr>
      <w:tr w14:paraId="0D46679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13F8CDD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lang w:val="en-US" w:eastAsia="zh-CN"/>
              </w:rPr>
            </w:pPr>
            <w:r>
              <w:rPr>
                <w:rFonts w:hint="eastAsia" w:ascii="仿宋_GB2312" w:hAnsi="仿宋_GB2312" w:eastAsia="仿宋_GB2312" w:cs="仿宋_GB2312"/>
                <w:b w:val="0"/>
                <w:color w:val="000000"/>
                <w:sz w:val="24"/>
                <w:szCs w:val="24"/>
              </w:rPr>
              <w:t>运维支撑工具</w:t>
            </w:r>
            <w:r>
              <w:rPr>
                <w:rFonts w:hint="eastAsia" w:ascii="仿宋_GB2312" w:hAnsi="仿宋_GB2312" w:eastAsia="仿宋_GB2312" w:cs="仿宋_GB2312"/>
                <w:b w:val="0"/>
                <w:color w:val="000000"/>
                <w:sz w:val="24"/>
                <w:szCs w:val="24"/>
                <w:lang w:val="en-US" w:eastAsia="zh-CN"/>
              </w:rPr>
              <w:t>与响应能力</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4A2F9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供应商服务工具具有软件著作权登记证书，且软件著作权登记证书归供应商所有的，得</w:t>
            </w:r>
            <w:r>
              <w:rPr>
                <w:rFonts w:hint="eastAsia" w:ascii="仿宋_GB2312" w:hAnsi="仿宋_GB2312" w:eastAsia="仿宋_GB2312" w:cs="仿宋_GB2312"/>
                <w:b w:val="0"/>
                <w:color w:val="000000"/>
                <w:sz w:val="24"/>
                <w:szCs w:val="24"/>
                <w:lang w:val="en-US" w:eastAsia="zh-CN"/>
              </w:rPr>
              <w:t>3</w:t>
            </w:r>
            <w:r>
              <w:rPr>
                <w:rFonts w:hint="eastAsia" w:ascii="仿宋_GB2312" w:hAnsi="仿宋_GB2312" w:eastAsia="仿宋_GB2312" w:cs="仿宋_GB2312"/>
                <w:b w:val="0"/>
                <w:color w:val="000000"/>
                <w:sz w:val="24"/>
                <w:szCs w:val="24"/>
              </w:rPr>
              <w:t>分。</w:t>
            </w:r>
          </w:p>
          <w:p w14:paraId="73FFAAC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根据投标文件与招标文件中采购需求说明的服务要求（标记“◆”的技术参数）的偏离情况进行评分。</w:t>
            </w:r>
          </w:p>
          <w:p w14:paraId="62F4A37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 全部满足并提供有效证明材料的，得</w:t>
            </w:r>
            <w:r>
              <w:rPr>
                <w:rFonts w:hint="eastAsia" w:ascii="仿宋_GB2312" w:hAnsi="仿宋_GB2312" w:eastAsia="仿宋_GB2312" w:cs="仿宋_GB2312"/>
                <w:b w:val="0"/>
                <w:color w:val="000000"/>
                <w:sz w:val="24"/>
                <w:szCs w:val="24"/>
                <w:lang w:val="en-US" w:eastAsia="zh-CN"/>
              </w:rPr>
              <w:t>6</w:t>
            </w:r>
            <w:r>
              <w:rPr>
                <w:rFonts w:hint="eastAsia" w:ascii="仿宋_GB2312" w:hAnsi="仿宋_GB2312" w:eastAsia="仿宋_GB2312" w:cs="仿宋_GB2312"/>
                <w:b w:val="0"/>
                <w:color w:val="000000"/>
                <w:sz w:val="24"/>
                <w:szCs w:val="24"/>
              </w:rPr>
              <w:t>分；</w:t>
            </w:r>
          </w:p>
          <w:p w14:paraId="6B069877">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 有不满足或证明材料不充分的，每项扣</w:t>
            </w:r>
            <w:r>
              <w:rPr>
                <w:rFonts w:hint="eastAsia" w:ascii="仿宋_GB2312" w:hAnsi="仿宋_GB2312" w:eastAsia="仿宋_GB2312" w:cs="仿宋_GB2312"/>
                <w:b w:val="0"/>
                <w:color w:val="000000"/>
                <w:sz w:val="24"/>
                <w:szCs w:val="24"/>
                <w:lang w:val="en-US" w:eastAsia="zh-CN"/>
              </w:rPr>
              <w:t>3</w:t>
            </w:r>
            <w:r>
              <w:rPr>
                <w:rFonts w:hint="eastAsia" w:ascii="仿宋_GB2312" w:hAnsi="仿宋_GB2312" w:eastAsia="仿宋_GB2312" w:cs="仿宋_GB2312"/>
                <w:b w:val="0"/>
                <w:color w:val="000000"/>
                <w:sz w:val="24"/>
                <w:szCs w:val="24"/>
              </w:rPr>
              <w:t>分，扣完为止；（同一项参数不重复扣分）</w:t>
            </w:r>
          </w:p>
          <w:p w14:paraId="4AFE9457">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证明材料：提供招标文件服务要求规定的证明材料。</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238DAD8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rPr>
            </w:pPr>
            <w:r>
              <w:rPr>
                <w:rFonts w:hint="eastAsia" w:ascii="仿宋_GB2312" w:hAnsi="仿宋_GB2312" w:eastAsia="仿宋_GB2312" w:cs="仿宋_GB2312"/>
                <w:b w:val="0"/>
                <w:color w:val="000000"/>
                <w:sz w:val="24"/>
                <w:szCs w:val="24"/>
                <w:lang w:val="en-US" w:eastAsia="zh-CN"/>
              </w:rPr>
              <w:t>9</w:t>
            </w:r>
            <w:r>
              <w:rPr>
                <w:rFonts w:hint="eastAsia" w:ascii="仿宋_GB2312" w:hAnsi="仿宋_GB2312" w:eastAsia="仿宋_GB2312" w:cs="仿宋_GB2312"/>
                <w:b w:val="0"/>
                <w:color w:val="000000"/>
                <w:sz w:val="24"/>
                <w:szCs w:val="24"/>
              </w:rPr>
              <w:t>分</w:t>
            </w:r>
          </w:p>
        </w:tc>
      </w:tr>
    </w:tbl>
    <w:p w14:paraId="1E16DB9F">
      <w:pPr>
        <w:spacing w:line="360" w:lineRule="auto"/>
        <w:ind w:left="0" w:leftChars="0" w:firstLine="420" w:firstLineChars="175"/>
        <w:rPr>
          <w:rFonts w:hint="eastAsia" w:ascii="仿宋_GB2312" w:hAnsi="仿宋_GB2312" w:eastAsia="仿宋_GB2312" w:cs="仿宋_GB2312"/>
          <w:color w:val="000000"/>
          <w:sz w:val="24"/>
          <w:szCs w:val="24"/>
        </w:rPr>
      </w:pPr>
    </w:p>
    <w:p w14:paraId="14D38369">
      <w:pPr>
        <w:spacing w:line="360" w:lineRule="auto"/>
        <w:ind w:left="0" w:leftChars="0" w:firstLine="420" w:firstLineChars="175"/>
        <w:rPr>
          <w:rFonts w:hint="eastAsia" w:ascii="仿宋_GB2312" w:hAnsi="仿宋_GB2312" w:eastAsia="仿宋_GB2312" w:cs="仿宋_GB2312"/>
          <w:color w:val="000000"/>
          <w:sz w:val="24"/>
          <w:szCs w:val="24"/>
        </w:rPr>
      </w:pPr>
    </w:p>
    <w:p w14:paraId="0452C0FA">
      <w:pPr>
        <w:numPr>
          <w:ilvl w:val="0"/>
          <w:numId w:val="8"/>
        </w:numPr>
        <w:spacing w:line="360" w:lineRule="auto"/>
        <w:ind w:left="0" w:leftChars="0" w:firstLine="490" w:firstLineChars="175"/>
        <w:rPr>
          <w:rFonts w:hint="eastAsia" w:ascii="黑体" w:hAnsi="黑体" w:eastAsia="黑体" w:cs="黑体"/>
          <w:color w:val="000000"/>
          <w:sz w:val="28"/>
          <w:szCs w:val="28"/>
        </w:rPr>
      </w:pPr>
      <w:r>
        <w:rPr>
          <w:rFonts w:hint="eastAsia" w:ascii="黑体" w:hAnsi="黑体" w:eastAsia="黑体" w:cs="黑体"/>
          <w:color w:val="000000"/>
          <w:sz w:val="28"/>
          <w:szCs w:val="28"/>
        </w:rPr>
        <w:t>合同主要条款（草案）</w:t>
      </w:r>
    </w:p>
    <w:p w14:paraId="56C1F639">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合同金额： 人民币 [ 中标金额 ] 元/年。</w:t>
      </w:r>
    </w:p>
    <w:p w14:paraId="7907C11B">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付款方式： 合同签订后支付合同总价的50%，服务期满半年经考核合格支付剩余50%。</w:t>
      </w:r>
    </w:p>
    <w:p w14:paraId="64D3E3D4">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合同期限： 一年一签，首次合同有效期自正式签订之日算起。</w:t>
      </w:r>
    </w:p>
    <w:p w14:paraId="718B6573">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续签条件： 年度服务评价结果为合格（以采购人书面证明为准），是签订下一年度合同的唯一生效条件。如年度评价不合格，采购人提前15日书面通知供应商，合同到期自然终止，不构成违约。</w:t>
      </w:r>
    </w:p>
    <w:p w14:paraId="68503566">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保密条款： 供应商对接触到的所有校园网信息、业务数据、系统架构等永久保密。</w:t>
      </w:r>
    </w:p>
    <w:p w14:paraId="0F47C62C">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违约责任： 逾期交付服务成果的，每逾期一日扣除合同总额0.5%。服务质量严重不达标的，采购人有权提前终止合同。</w:t>
      </w:r>
    </w:p>
    <w:p w14:paraId="768CB953">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第七章 响应文件格式</w:t>
      </w:r>
    </w:p>
    <w:p w14:paraId="083C8A00">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供应商提交的响应文件应包含以下内容：</w:t>
      </w:r>
    </w:p>
    <w:p w14:paraId="7FA982BD">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一、资格审查文件</w:t>
      </w:r>
    </w:p>
    <w:p w14:paraId="21577712">
      <w:pPr>
        <w:widowControl w:val="0"/>
        <w:numPr>
          <w:ilvl w:val="0"/>
          <w:numId w:val="1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磋商响应函</w:t>
      </w:r>
    </w:p>
    <w:p w14:paraId="0D4E84B5">
      <w:pPr>
        <w:widowControl w:val="0"/>
        <w:numPr>
          <w:ilvl w:val="0"/>
          <w:numId w:val="1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营业执照复印件</w:t>
      </w:r>
    </w:p>
    <w:p w14:paraId="4B8FC593">
      <w:pPr>
        <w:widowControl w:val="0"/>
        <w:numPr>
          <w:ilvl w:val="0"/>
          <w:numId w:val="1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法定代表人授权书</w:t>
      </w:r>
    </w:p>
    <w:p w14:paraId="56895C01">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二、报价文件</w:t>
      </w:r>
    </w:p>
    <w:p w14:paraId="6A4017FC">
      <w:pPr>
        <w:widowControl w:val="0"/>
        <w:numPr>
          <w:ilvl w:val="0"/>
          <w:numId w:val="11"/>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报价一览表（一年服务期报价）</w:t>
      </w:r>
    </w:p>
    <w:p w14:paraId="2BE3FB44">
      <w:pPr>
        <w:widowControl w:val="0"/>
        <w:numPr>
          <w:ilvl w:val="0"/>
          <w:numId w:val="11"/>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分项报价明细</w:t>
      </w:r>
    </w:p>
    <w:p w14:paraId="13CDA664">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三、技术文件</w:t>
      </w:r>
    </w:p>
    <w:p w14:paraId="222D9E18">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总体服务方案</w:t>
      </w:r>
    </w:p>
    <w:p w14:paraId="2F906BCD">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服务实施计划</w:t>
      </w:r>
    </w:p>
    <w:p w14:paraId="6CB5CCA6">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人员培训方案</w:t>
      </w:r>
    </w:p>
    <w:p w14:paraId="46A9475F">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安全方案</w:t>
      </w:r>
    </w:p>
    <w:p w14:paraId="3C8FDA52">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应急预案</w:t>
      </w:r>
    </w:p>
    <w:p w14:paraId="436526EF">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人员配置清单及资质证书（含社保）</w:t>
      </w:r>
    </w:p>
    <w:p w14:paraId="067C4256">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运维管理工具功能说明及证明材料</w:t>
      </w:r>
    </w:p>
    <w:p w14:paraId="4F8BBD2E">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软件著作权证书（如有）</w:t>
      </w:r>
    </w:p>
    <w:p w14:paraId="18CD164F">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四、商务文件</w:t>
      </w:r>
    </w:p>
    <w:p w14:paraId="1C0F7D04">
      <w:pPr>
        <w:widowControl w:val="0"/>
        <w:numPr>
          <w:ilvl w:val="0"/>
          <w:numId w:val="13"/>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企业实力相关证书（ISO、CCRC等）</w:t>
      </w:r>
    </w:p>
    <w:p w14:paraId="6982DE8B">
      <w:pPr>
        <w:widowControl w:val="0"/>
        <w:numPr>
          <w:ilvl w:val="0"/>
          <w:numId w:val="13"/>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本地化服务能力证明材料</w:t>
      </w:r>
    </w:p>
    <w:p w14:paraId="63905341">
      <w:pPr>
        <w:widowControl w:val="0"/>
        <w:numPr>
          <w:ilvl w:val="0"/>
          <w:numId w:val="13"/>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类似项目业绩合同</w:t>
      </w:r>
    </w:p>
    <w:p w14:paraId="1C6E651C">
      <w:pPr>
        <w:widowControl w:val="0"/>
        <w:numPr>
          <w:ilvl w:val="0"/>
          <w:numId w:val="13"/>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承诺函（实质性条款承诺）</w:t>
      </w:r>
    </w:p>
    <w:p w14:paraId="4EA38863">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五、响应承诺函（格式）</w:t>
      </w:r>
    </w:p>
    <w:p w14:paraId="165ABF79">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《服务续期机制响应承诺函》</w:t>
      </w:r>
    </w:p>
    <w:p w14:paraId="68D4E28B">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我方已知悉本项目采购有效期为三年，合同采用1+1+1方式，每年接受采购人服务评价，评价合格后方可续签。如评价不合格，采购人有权不续签下一年合同，我方无异议。</w:t>
      </w:r>
    </w:p>
    <w:p w14:paraId="2765A5A0">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供应商名称（加盖公章）：</w:t>
      </w:r>
    </w:p>
    <w:p w14:paraId="4B09A7A3">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授权代表签字：</w:t>
      </w:r>
    </w:p>
    <w:p w14:paraId="25D24EE0">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7467DDE-46C0-4F82-825E-2584B266D4D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embedRegular r:id="rId2" w:fontKey="{55B5D275-D488-4CBC-BB96-B2B493673674}"/>
  </w:font>
  <w:font w:name="方正仿宋_GB2312">
    <w:panose1 w:val="02000000000000000000"/>
    <w:charset w:val="86"/>
    <w:family w:val="auto"/>
    <w:pitch w:val="default"/>
    <w:sig w:usb0="A00002BF" w:usb1="184F6CFA" w:usb2="00000012" w:usb3="00000000" w:csb0="00040001" w:csb1="00000000"/>
    <w:embedRegular r:id="rId3" w:fontKey="{FD738207-C74D-4792-91CB-DF695C7E5BA4}"/>
  </w:font>
  <w:font w:name="仿宋">
    <w:panose1 w:val="02010609060101010101"/>
    <w:charset w:val="86"/>
    <w:family w:val="modern"/>
    <w:pitch w:val="default"/>
    <w:sig w:usb0="800002BF" w:usb1="38CF7CFA" w:usb2="00000016" w:usb3="00000000" w:csb0="00040001" w:csb1="00000000"/>
    <w:embedRegular r:id="rId4" w:fontKey="{715BF0F8-9364-4A7E-B79C-DBF5B2C4D4AF}"/>
  </w:font>
  <w:font w:name="Segoe UI">
    <w:panose1 w:val="020B0502040204020203"/>
    <w:charset w:val="00"/>
    <w:family w:val="auto"/>
    <w:pitch w:val="default"/>
    <w:sig w:usb0="E4002EFF" w:usb1="C000E47F" w:usb2="00000009" w:usb3="00000000" w:csb0="200001FF" w:csb1="00000000"/>
    <w:embedRegular r:id="rId5" w:fontKey="{AA544967-A8E9-4CCF-B78D-4E8F2A45E63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4F078F"/>
    <w:multiLevelType w:val="singleLevel"/>
    <w:tmpl w:val="AD4F078F"/>
    <w:lvl w:ilvl="0" w:tentative="0">
      <w:start w:val="6"/>
      <w:numFmt w:val="chineseCounting"/>
      <w:suff w:val="space"/>
      <w:lvlText w:val="第%1章"/>
      <w:lvlJc w:val="left"/>
      <w:rPr>
        <w:rFonts w:hint="eastAsia"/>
      </w:rPr>
    </w:lvl>
  </w:abstractNum>
  <w:abstractNum w:abstractNumId="1">
    <w:nsid w:val="AE656D90"/>
    <w:multiLevelType w:val="singleLevel"/>
    <w:tmpl w:val="AE656D90"/>
    <w:lvl w:ilvl="0" w:tentative="0">
      <w:start w:val="1"/>
      <w:numFmt w:val="decimal"/>
      <w:lvlText w:val="%1."/>
      <w:lvlJc w:val="left"/>
      <w:pPr>
        <w:ind w:left="425" w:hanging="425"/>
      </w:pPr>
      <w:rPr>
        <w:rFonts w:hint="default"/>
      </w:rPr>
    </w:lvl>
  </w:abstractNum>
  <w:abstractNum w:abstractNumId="2">
    <w:nsid w:val="C685F1AE"/>
    <w:multiLevelType w:val="singleLevel"/>
    <w:tmpl w:val="C685F1AE"/>
    <w:lvl w:ilvl="0" w:tentative="0">
      <w:start w:val="1"/>
      <w:numFmt w:val="decimal"/>
      <w:lvlText w:val="%1."/>
      <w:lvlJc w:val="left"/>
      <w:pPr>
        <w:ind w:left="425" w:hanging="425"/>
      </w:pPr>
      <w:rPr>
        <w:rFonts w:hint="default"/>
      </w:rPr>
    </w:lvl>
  </w:abstractNum>
  <w:abstractNum w:abstractNumId="3">
    <w:nsid w:val="D0709AF5"/>
    <w:multiLevelType w:val="singleLevel"/>
    <w:tmpl w:val="D0709AF5"/>
    <w:lvl w:ilvl="0" w:tentative="0">
      <w:start w:val="1"/>
      <w:numFmt w:val="decimal"/>
      <w:lvlText w:val="%1."/>
      <w:lvlJc w:val="left"/>
      <w:pPr>
        <w:ind w:left="425" w:hanging="425"/>
      </w:pPr>
      <w:rPr>
        <w:rFonts w:hint="default"/>
      </w:rPr>
    </w:lvl>
  </w:abstractNum>
  <w:abstractNum w:abstractNumId="4">
    <w:nsid w:val="DA83D44E"/>
    <w:multiLevelType w:val="singleLevel"/>
    <w:tmpl w:val="DA83D44E"/>
    <w:lvl w:ilvl="0" w:tentative="0">
      <w:start w:val="1"/>
      <w:numFmt w:val="decimal"/>
      <w:lvlText w:val="%1."/>
      <w:lvlJc w:val="left"/>
      <w:pPr>
        <w:ind w:left="425" w:hanging="425"/>
      </w:pPr>
      <w:rPr>
        <w:rFonts w:hint="default"/>
      </w:rPr>
    </w:lvl>
  </w:abstractNum>
  <w:abstractNum w:abstractNumId="5">
    <w:nsid w:val="DF60DD77"/>
    <w:multiLevelType w:val="singleLevel"/>
    <w:tmpl w:val="DF60DD77"/>
    <w:lvl w:ilvl="0" w:tentative="0">
      <w:start w:val="1"/>
      <w:numFmt w:val="decimal"/>
      <w:lvlText w:val="%1."/>
      <w:lvlJc w:val="left"/>
      <w:pPr>
        <w:ind w:left="425" w:hanging="425"/>
      </w:pPr>
      <w:rPr>
        <w:rFonts w:hint="default"/>
      </w:rPr>
    </w:lvl>
  </w:abstractNum>
  <w:abstractNum w:abstractNumId="6">
    <w:nsid w:val="0444D6E0"/>
    <w:multiLevelType w:val="singleLevel"/>
    <w:tmpl w:val="0444D6E0"/>
    <w:lvl w:ilvl="0" w:tentative="0">
      <w:start w:val="1"/>
      <w:numFmt w:val="bullet"/>
      <w:lvlText w:val=""/>
      <w:lvlJc w:val="left"/>
      <w:pPr>
        <w:ind w:left="420" w:hanging="420"/>
      </w:pPr>
      <w:rPr>
        <w:rFonts w:hint="default" w:ascii="Wingdings" w:hAnsi="Wingdings"/>
      </w:rPr>
    </w:lvl>
  </w:abstractNum>
  <w:abstractNum w:abstractNumId="7">
    <w:nsid w:val="1C8DFDB7"/>
    <w:multiLevelType w:val="singleLevel"/>
    <w:tmpl w:val="1C8DFDB7"/>
    <w:lvl w:ilvl="0" w:tentative="0">
      <w:start w:val="1"/>
      <w:numFmt w:val="bullet"/>
      <w:lvlText w:val=""/>
      <w:lvlJc w:val="left"/>
      <w:pPr>
        <w:ind w:left="420" w:hanging="420"/>
      </w:pPr>
      <w:rPr>
        <w:rFonts w:hint="default" w:ascii="Wingdings" w:hAnsi="Wingdings"/>
      </w:rPr>
    </w:lvl>
  </w:abstractNum>
  <w:abstractNum w:abstractNumId="8">
    <w:nsid w:val="1DCBC68B"/>
    <w:multiLevelType w:val="singleLevel"/>
    <w:tmpl w:val="1DCBC68B"/>
    <w:lvl w:ilvl="0" w:tentative="0">
      <w:start w:val="1"/>
      <w:numFmt w:val="chineseCounting"/>
      <w:suff w:val="nothing"/>
      <w:lvlText w:val="%1、"/>
      <w:lvlJc w:val="left"/>
      <w:rPr>
        <w:rFonts w:hint="eastAsia"/>
      </w:rPr>
    </w:lvl>
  </w:abstractNum>
  <w:abstractNum w:abstractNumId="9">
    <w:nsid w:val="23908F1B"/>
    <w:multiLevelType w:val="singleLevel"/>
    <w:tmpl w:val="23908F1B"/>
    <w:lvl w:ilvl="0" w:tentative="0">
      <w:start w:val="1"/>
      <w:numFmt w:val="decimal"/>
      <w:lvlText w:val="%1."/>
      <w:lvlJc w:val="left"/>
      <w:pPr>
        <w:ind w:left="425" w:hanging="425"/>
      </w:pPr>
      <w:rPr>
        <w:rFonts w:hint="default"/>
      </w:rPr>
    </w:lvl>
  </w:abstractNum>
  <w:abstractNum w:abstractNumId="10">
    <w:nsid w:val="4AE37077"/>
    <w:multiLevelType w:val="singleLevel"/>
    <w:tmpl w:val="4AE37077"/>
    <w:lvl w:ilvl="0" w:tentative="0">
      <w:start w:val="1"/>
      <w:numFmt w:val="decimal"/>
      <w:lvlText w:val="%1."/>
      <w:lvlJc w:val="left"/>
      <w:pPr>
        <w:ind w:left="425" w:hanging="425"/>
      </w:pPr>
      <w:rPr>
        <w:rFonts w:hint="default"/>
      </w:rPr>
    </w:lvl>
  </w:abstractNum>
  <w:abstractNum w:abstractNumId="11">
    <w:nsid w:val="4BCF2F9C"/>
    <w:multiLevelType w:val="singleLevel"/>
    <w:tmpl w:val="4BCF2F9C"/>
    <w:lvl w:ilvl="0" w:tentative="0">
      <w:start w:val="1"/>
      <w:numFmt w:val="bullet"/>
      <w:lvlText w:val=""/>
      <w:lvlJc w:val="left"/>
      <w:pPr>
        <w:ind w:left="420" w:hanging="420"/>
      </w:pPr>
      <w:rPr>
        <w:rFonts w:hint="default" w:ascii="Wingdings" w:hAnsi="Wingdings"/>
      </w:rPr>
    </w:lvl>
  </w:abstractNum>
  <w:abstractNum w:abstractNumId="12">
    <w:nsid w:val="57C61F56"/>
    <w:multiLevelType w:val="singleLevel"/>
    <w:tmpl w:val="57C61F56"/>
    <w:lvl w:ilvl="0" w:tentative="0">
      <w:start w:val="1"/>
      <w:numFmt w:val="decimal"/>
      <w:lvlText w:val="%1."/>
      <w:lvlJc w:val="left"/>
      <w:pPr>
        <w:ind w:left="425" w:hanging="425"/>
      </w:pPr>
      <w:rPr>
        <w:rFonts w:hint="default"/>
      </w:rPr>
    </w:lvl>
  </w:abstractNum>
  <w:num w:numId="1">
    <w:abstractNumId w:val="2"/>
  </w:num>
  <w:num w:numId="2">
    <w:abstractNumId w:val="4"/>
  </w:num>
  <w:num w:numId="3">
    <w:abstractNumId w:val="7"/>
  </w:num>
  <w:num w:numId="4">
    <w:abstractNumId w:val="11"/>
  </w:num>
  <w:num w:numId="5">
    <w:abstractNumId w:val="6"/>
  </w:num>
  <w:num w:numId="6">
    <w:abstractNumId w:val="12"/>
  </w:num>
  <w:num w:numId="7">
    <w:abstractNumId w:val="8"/>
  </w:num>
  <w:num w:numId="8">
    <w:abstractNumId w:val="0"/>
  </w:num>
  <w:num w:numId="9">
    <w:abstractNumId w:val="5"/>
  </w:num>
  <w:num w:numId="10">
    <w:abstractNumId w:val="3"/>
  </w:num>
  <w:num w:numId="11">
    <w:abstractNumId w:val="10"/>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353"/>
    <w:rsid w:val="00025FAC"/>
    <w:rsid w:val="000D6E17"/>
    <w:rsid w:val="001165C7"/>
    <w:rsid w:val="00202DE2"/>
    <w:rsid w:val="00267A64"/>
    <w:rsid w:val="00274578"/>
    <w:rsid w:val="002779CC"/>
    <w:rsid w:val="00301790"/>
    <w:rsid w:val="00304D6D"/>
    <w:rsid w:val="00340E56"/>
    <w:rsid w:val="00396567"/>
    <w:rsid w:val="003B63C4"/>
    <w:rsid w:val="003E4D04"/>
    <w:rsid w:val="00406B9D"/>
    <w:rsid w:val="00484628"/>
    <w:rsid w:val="00485D06"/>
    <w:rsid w:val="004C38D2"/>
    <w:rsid w:val="005835DD"/>
    <w:rsid w:val="00597390"/>
    <w:rsid w:val="007C4E47"/>
    <w:rsid w:val="007D042E"/>
    <w:rsid w:val="00852353"/>
    <w:rsid w:val="008B7D9D"/>
    <w:rsid w:val="00900831"/>
    <w:rsid w:val="00900F3A"/>
    <w:rsid w:val="009D52E2"/>
    <w:rsid w:val="00A108CE"/>
    <w:rsid w:val="00A133F4"/>
    <w:rsid w:val="00A55B50"/>
    <w:rsid w:val="00AF7DCD"/>
    <w:rsid w:val="00B34FF3"/>
    <w:rsid w:val="00B61D8B"/>
    <w:rsid w:val="00BA0B53"/>
    <w:rsid w:val="00BB6687"/>
    <w:rsid w:val="00BD2581"/>
    <w:rsid w:val="00BD77DD"/>
    <w:rsid w:val="00BF4577"/>
    <w:rsid w:val="00C0637C"/>
    <w:rsid w:val="00C251B4"/>
    <w:rsid w:val="00CB3794"/>
    <w:rsid w:val="00CD4D98"/>
    <w:rsid w:val="00CD5AAF"/>
    <w:rsid w:val="00D0771C"/>
    <w:rsid w:val="00D12EB6"/>
    <w:rsid w:val="00D841F9"/>
    <w:rsid w:val="00DA41F8"/>
    <w:rsid w:val="00E01A7E"/>
    <w:rsid w:val="00E35D99"/>
    <w:rsid w:val="00E666E8"/>
    <w:rsid w:val="00E8119B"/>
    <w:rsid w:val="00F13A5A"/>
    <w:rsid w:val="00F92651"/>
    <w:rsid w:val="00FE4DC8"/>
    <w:rsid w:val="142E51ED"/>
    <w:rsid w:val="173B1D3E"/>
    <w:rsid w:val="17D6734C"/>
    <w:rsid w:val="25295B84"/>
    <w:rsid w:val="26045C60"/>
    <w:rsid w:val="27FA5CFA"/>
    <w:rsid w:val="33095871"/>
    <w:rsid w:val="342F7A89"/>
    <w:rsid w:val="381B3F7A"/>
    <w:rsid w:val="3C2A1127"/>
    <w:rsid w:val="3E6519E9"/>
    <w:rsid w:val="3F826A27"/>
    <w:rsid w:val="3FBD76FF"/>
    <w:rsid w:val="424C3FA7"/>
    <w:rsid w:val="45AD5FAD"/>
    <w:rsid w:val="46A17D19"/>
    <w:rsid w:val="4AAC19DB"/>
    <w:rsid w:val="4FF21784"/>
    <w:rsid w:val="509466EB"/>
    <w:rsid w:val="537B7533"/>
    <w:rsid w:val="56684E54"/>
    <w:rsid w:val="5CF92817"/>
    <w:rsid w:val="63363630"/>
    <w:rsid w:val="7461016E"/>
    <w:rsid w:val="76826782"/>
    <w:rsid w:val="7B287EE5"/>
    <w:rsid w:val="7ED22F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adjustRightInd w:val="0"/>
      <w:snapToGrid w:val="0"/>
      <w:spacing w:line="360" w:lineRule="auto"/>
      <w:outlineLvl w:val="0"/>
    </w:pPr>
    <w:rPr>
      <w:rFonts w:eastAsia="宋体"/>
      <w:b/>
      <w:bCs/>
      <w:kern w:val="44"/>
      <w:sz w:val="32"/>
      <w:szCs w:val="44"/>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paragraph" w:customStyle="1" w:styleId="11">
    <w:name w:val="正文_0_0"/>
    <w:qFormat/>
    <w:uiPriority w:val="0"/>
    <w:pPr>
      <w:widowControl w:val="0"/>
      <w:jc w:val="both"/>
    </w:pPr>
    <w:rPr>
      <w:rFonts w:ascii="Times New Roman" w:hAnsi="Times New Roman" w:eastAsia="宋体" w:cs="Times New Roman"/>
      <w:kern w:val="2"/>
      <w:sz w:val="21"/>
      <w:szCs w:val="20"/>
      <w:lang w:val="en-US" w:eastAsia="zh-CN" w:bidi="ar-SA"/>
    </w:rPr>
  </w:style>
  <w:style w:type="table" w:customStyle="1" w:styleId="12">
    <w:name w:val="Table Normal"/>
    <w:semiHidden/>
    <w:unhideWhenUsed/>
    <w:qFormat/>
    <w:uiPriority w:val="2"/>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13">
    <w:name w:val="Table Paragraph"/>
    <w:basedOn w:val="1"/>
    <w:qFormat/>
    <w:uiPriority w:val="1"/>
    <w:pPr>
      <w:autoSpaceDE w:val="0"/>
      <w:autoSpaceDN w:val="0"/>
      <w:jc w:val="left"/>
    </w:pPr>
    <w:rPr>
      <w:rFonts w:ascii="Times New Roman" w:hAnsi="Times New Roman" w:eastAsia="Times New Roman" w:cs="Times New Roman"/>
      <w:kern w:val="0"/>
      <w:sz w:val="22"/>
      <w:lang w:eastAsia="en-US"/>
    </w:rPr>
  </w:style>
  <w:style w:type="character" w:customStyle="1" w:styleId="14">
    <w:name w:val="标题 1 字符"/>
    <w:basedOn w:val="8"/>
    <w:link w:val="2"/>
    <w:qFormat/>
    <w:uiPriority w:val="9"/>
    <w:rPr>
      <w:rFonts w:eastAsia="宋体"/>
      <w:b/>
      <w:bCs/>
      <w:kern w:val="44"/>
      <w:sz w:val="32"/>
      <w:szCs w:val="44"/>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0BA13-A9FD-4C2B-B6E1-0AC5BF249BD6}">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4455</Words>
  <Characters>4606</Characters>
  <Lines>44</Lines>
  <Paragraphs>12</Paragraphs>
  <TotalTime>0</TotalTime>
  <ScaleCrop>false</ScaleCrop>
  <LinksUpToDate>false</LinksUpToDate>
  <CharactersWithSpaces>4661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2024-09-11T03:07:00Z</dcterms:created>
  <dc:creator>Administrator</dc:creator>
  <cp:lastModifiedBy>刘涛</cp:lastModifiedBy>
  <cp:lastPrinted>2026-05-26T06:04:00Z</cp:lastPrinted>
  <dcterms:modified xsi:type="dcterms:W3CDTF">2026-05-28T01:22:59Z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eyJoZGlkIjoiYzQ1ZjA3ZDhmODk3ZDQ1ODBmYzAyODc1YmI0MTVjMzAiLCJ1c2VySWQiOiIxNDc5OTgxMTY4In0=</vt:lpwstr>
  </property>
  <property fmtid="{D5CDD505-2E9C-101B-9397-08002B2CF9AE}" pid="3" name="KSOProductBuildVer">
    <vt:lpwstr>2052-12.1.0.26375</vt:lpwstr>
  </property>
  <property fmtid="{D5CDD505-2E9C-101B-9397-08002B2CF9AE}" pid="4" name="ICV">
    <vt:lpwstr>A4427219802947DBA993BBDDCA291CC8_13</vt:lpwstr>
  </property>
</Properties>
</file>